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start"/>
        <w:rPr>
          <w:b/>
          <w:bCs/>
          <w:sz w:val="28"/>
          <w:szCs w:val="28"/>
        </w:rPr>
      </w:pPr>
      <w:r>
        <w:rPr>
          <w:b/>
          <w:bCs/>
          <w:sz w:val="28"/>
          <w:szCs w:val="28"/>
        </w:rPr>
        <w:drawing>
          <wp:anchor distT="0" distB="0" distL="0" distR="0" simplePos="0" relativeHeight="3" behindDoc="0" locked="0" layoutInCell="0" allowOverlap="1">
            <wp:simplePos x="0" y="0"/>
            <wp:positionH relativeFrom="column">
              <wp:align>center</wp:align>
            </wp:positionH>
            <wp:positionV relativeFrom="paragraph">
              <wp:posOffset>635</wp:posOffset>
            </wp:positionV>
            <wp:extent cx="6120130" cy="865695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6120130" cy="8656955"/>
                    </a:xfrm>
                    <a:prstGeom prst="rect">
                      <a:avLst/>
                    </a:prstGeom>
                    <a:noFill/>
                  </pic:spPr>
                </pic:pic>
              </a:graphicData>
            </a:graphic>
          </wp:anchor>
        </w:drawing>
      </w:r>
      <w:r>
        <w:br w:type="page"/>
      </w:r>
    </w:p>
    <w:p>
      <w:pPr>
        <w:pStyle w:val="Normal"/>
        <w:spacing w:before="0" w:after="0"/>
        <w:jc w:val="start"/>
        <w:rPr>
          <w:b/>
          <w:bCs/>
          <w:sz w:val="28"/>
          <w:szCs w:val="28"/>
        </w:rPr>
      </w:pPr>
      <w:r>
        <mc:AlternateContent>
          <mc:Choice Requires="wpg">
            <w:drawing>
              <wp:anchor distT="0" distB="0" distL="114935" distR="114935" simplePos="0" relativeHeight="2" behindDoc="0" locked="0" layoutInCell="0" allowOverlap="1">
                <wp:simplePos x="0" y="0"/>
                <wp:positionH relativeFrom="column">
                  <wp:posOffset>-66040</wp:posOffset>
                </wp:positionH>
                <wp:positionV relativeFrom="paragraph">
                  <wp:posOffset>-21590</wp:posOffset>
                </wp:positionV>
                <wp:extent cx="1136015" cy="817880"/>
                <wp:effectExtent l="0" t="0" r="0" b="0"/>
                <wp:wrapSquare wrapText="right"/>
                <wp:docPr id="2" name="Group object 1"/>
                <a:graphic xmlns:a="http://schemas.openxmlformats.org/drawingml/2006/main">
                  <a:graphicData uri="http://schemas.microsoft.com/office/word/2010/wordprocessingGroup">
                    <wpg:wgp>
                      <wpg:cNvGrpSpPr/>
                      <wpg:grpSpPr>
                        <a:xfrm>
                          <a:off x="0" y="0"/>
                          <a:ext cx="1136160" cy="817920"/>
                          <a:chOff x="0" y="0"/>
                          <a:chExt cx="1136160" cy="817920"/>
                        </a:xfrm>
                      </wpg:grpSpPr>
                      <pic:pic xmlns:pic="http://schemas.openxmlformats.org/drawingml/2006/picture">
                        <pic:nvPicPr>
                          <pic:cNvPr id="3" name=""/>
                          <pic:cNvPicPr/>
                        </pic:nvPicPr>
                        <pic:blipFill>
                          <a:blip r:embed="rId3"/>
                          <a:stretch/>
                        </pic:blipFill>
                        <pic:spPr>
                          <a:xfrm>
                            <a:off x="0" y="0"/>
                            <a:ext cx="1136160" cy="817920"/>
                          </a:xfrm>
                          <a:prstGeom prst="rect">
                            <a:avLst/>
                          </a:prstGeom>
                          <a:noFill/>
                          <a:ln w="0">
                            <a:noFill/>
                          </a:ln>
                        </pic:spPr>
                      </pic:pic>
                      <pic:pic xmlns:pic="http://schemas.openxmlformats.org/drawingml/2006/picture">
                        <pic:nvPicPr>
                          <pic:cNvPr id="4" name=""/>
                          <pic:cNvPicPr/>
                        </pic:nvPicPr>
                        <pic:blipFill>
                          <a:blip r:embed="rId4"/>
                          <a:stretch/>
                        </pic:blipFill>
                        <pic:spPr>
                          <a:xfrm>
                            <a:off x="41760" y="20880"/>
                            <a:ext cx="474840" cy="267480"/>
                          </a:xfrm>
                          <a:prstGeom prst="rect">
                            <a:avLst/>
                          </a:prstGeom>
                          <a:noFill/>
                          <a:ln w="0">
                            <a:noFill/>
                          </a:ln>
                        </pic:spPr>
                      </pic:pic>
                    </wpg:wgp>
                  </a:graphicData>
                </a:graphic>
              </wp:anchor>
            </w:drawing>
          </mc:Choice>
          <mc:Fallback>
            <w:pict>
              <v:group id="shape_0" alt="Group object 1" style="position:absolute;margin-left:-5.2pt;margin-top:-1.7pt;width:89.45pt;height:64.4pt" coordorigin="-104,-34" coordsize="1789,12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04;top:-34;width:1788;height:1287;mso-wrap-style:none;v-text-anchor:middle" type="_x0000_t75">
                  <v:imagedata r:id="rId5" o:detectmouseclick="t"/>
                  <v:stroke color="#3465a4" joinstyle="round" endcap="flat"/>
                  <w10:wrap type="square" side="right"/>
                </v:shape>
                <v:shape id="shape_0" stroked="f" o:allowincell="f" style="position:absolute;left:-38;top:-1;width:747;height:420;mso-wrap-style:none;v-text-anchor:middle" type="_x0000_t75">
                  <v:imagedata r:id="rId6" o:detectmouseclick="t"/>
                  <v:stroke color="#3465a4" joinstyle="round" endcap="flat"/>
                  <w10:wrap type="square" side="right"/>
                </v:shape>
              </v:group>
            </w:pict>
          </mc:Fallback>
        </mc:AlternateContent>
      </w:r>
      <w:r>
        <w:rPr>
          <w:b/>
          <w:bCs/>
          <w:sz w:val="28"/>
          <w:szCs w:val="28"/>
        </w:rPr>
        <w:t>A European Commission initiative:</w:t>
      </w:r>
    </w:p>
    <w:p>
      <w:pPr>
        <w:pStyle w:val="Normal"/>
        <w:jc w:val="start"/>
        <w:rPr>
          <w:b/>
          <w:bCs/>
          <w:sz w:val="28"/>
          <w:szCs w:val="28"/>
        </w:rPr>
      </w:pPr>
      <w:r>
        <w:rPr>
          <w:b/>
          <w:bCs/>
          <w:sz w:val="28"/>
          <w:szCs w:val="28"/>
        </w:rPr>
        <w:t>Collaborative Health Information European Framework (CHIEF)</w:t>
      </w:r>
    </w:p>
    <w:p>
      <w:pPr>
        <w:pStyle w:val="Normal"/>
        <w:jc w:val="start"/>
        <w:rPr>
          <w:b/>
          <w:bCs/>
          <w:sz w:val="28"/>
          <w:szCs w:val="28"/>
        </w:rPr>
      </w:pPr>
      <w:r>
        <w:rPr>
          <w:b/>
          <w:bCs/>
          <w:sz w:val="28"/>
          <w:szCs w:val="28"/>
        </w:rPr>
        <w:t>FINAL PRODUCTS</w:t>
      </w:r>
    </w:p>
    <w:p>
      <w:pPr>
        <w:pStyle w:val="BodyText"/>
        <w:bidi w:val="0"/>
        <w:spacing w:lineRule="auto" w:line="276" w:before="0" w:after="140"/>
        <w:ind w:hanging="0" w:start="0" w:end="0"/>
        <w:jc w:val="center"/>
        <w:rPr>
          <w:sz w:val="22"/>
          <w:szCs w:val="22"/>
        </w:rPr>
      </w:pPr>
      <w:r>
        <w:rPr>
          <w:sz w:val="22"/>
          <w:szCs w:val="22"/>
        </w:rPr>
      </w:r>
    </w:p>
    <w:p>
      <w:pPr>
        <w:pStyle w:val="BodyText"/>
        <w:bidi w:val="0"/>
        <w:spacing w:lineRule="auto" w:line="276" w:before="0" w:after="140"/>
        <w:ind w:hanging="0" w:start="0" w:end="0"/>
        <w:jc w:val="center"/>
        <w:rPr>
          <w:sz w:val="22"/>
          <w:szCs w:val="22"/>
        </w:rPr>
      </w:pPr>
      <w:r>
        <w:rPr>
          <w:b/>
          <w:bCs/>
          <w:sz w:val="22"/>
          <w:szCs w:val="22"/>
        </w:rPr>
        <w:t>Table 1. List of reports</w:t>
      </w:r>
    </w:p>
    <w:tbl>
      <w:tblPr>
        <w:tblW w:w="9585" w:type="dxa"/>
        <w:jc w:val="start"/>
        <w:tblInd w:w="-4" w:type="dxa"/>
        <w:tblLayout w:type="fixed"/>
        <w:tblCellMar>
          <w:top w:w="28" w:type="dxa"/>
          <w:start w:w="28" w:type="dxa"/>
          <w:bottom w:w="28" w:type="dxa"/>
          <w:end w:w="28" w:type="dxa"/>
        </w:tblCellMar>
      </w:tblPr>
      <w:tblGrid>
        <w:gridCol w:w="480"/>
        <w:gridCol w:w="931"/>
        <w:gridCol w:w="6303"/>
        <w:gridCol w:w="900"/>
        <w:gridCol w:w="971"/>
      </w:tblGrid>
      <w:tr>
        <w:trPr/>
        <w:tc>
          <w:tcPr>
            <w:tcW w:w="480" w:type="dxa"/>
            <w:tcBorders>
              <w:top w:val="single" w:sz="8" w:space="0" w:color="000000"/>
              <w:start w:val="single" w:sz="8" w:space="0" w:color="000000"/>
              <w:bottom w:val="single" w:sz="8" w:space="0" w:color="000000"/>
            </w:tcBorders>
            <w:shd w:fill="DDDDDD" w:val="clear"/>
            <w:vAlign w:val="center"/>
          </w:tcPr>
          <w:p>
            <w:pPr>
              <w:pStyle w:val="TableContents"/>
              <w:bidi w:val="0"/>
              <w:ind w:end="0"/>
              <w:jc w:val="center"/>
              <w:rPr>
                <w:sz w:val="22"/>
                <w:szCs w:val="22"/>
              </w:rPr>
            </w:pPr>
            <w:r>
              <w:rPr>
                <w:rFonts w:cs="Times New Roman" w:ascii="Times New Roman" w:hAnsi="Times New Roman"/>
                <w:b/>
                <w:bCs/>
                <w:sz w:val="22"/>
                <w:szCs w:val="22"/>
              </w:rPr>
              <w:t>#</w:t>
            </w:r>
          </w:p>
        </w:tc>
        <w:tc>
          <w:tcPr>
            <w:tcW w:w="931" w:type="dxa"/>
            <w:tcBorders>
              <w:top w:val="single" w:sz="8" w:space="0" w:color="000000"/>
              <w:start w:val="single" w:sz="8" w:space="0" w:color="000000"/>
              <w:bottom w:val="single" w:sz="8" w:space="0" w:color="000000"/>
            </w:tcBorders>
            <w:shd w:fill="DDDDDD" w:val="clear"/>
            <w:vAlign w:val="center"/>
          </w:tcPr>
          <w:p>
            <w:pPr>
              <w:pStyle w:val="TableContents"/>
              <w:bidi w:val="0"/>
              <w:ind w:end="0"/>
              <w:jc w:val="center"/>
              <w:rPr>
                <w:sz w:val="22"/>
                <w:szCs w:val="22"/>
              </w:rPr>
            </w:pPr>
            <w:r>
              <w:rPr>
                <w:rFonts w:cs="Times New Roman" w:ascii="Times New Roman" w:hAnsi="Times New Roman"/>
                <w:b/>
                <w:bCs/>
                <w:sz w:val="22"/>
                <w:szCs w:val="22"/>
              </w:rPr>
              <w:t>Activity</w:t>
            </w:r>
          </w:p>
        </w:tc>
        <w:tc>
          <w:tcPr>
            <w:tcW w:w="6303" w:type="dxa"/>
            <w:tcBorders>
              <w:top w:val="single" w:sz="8" w:space="0" w:color="000000"/>
              <w:start w:val="single" w:sz="8" w:space="0" w:color="000000"/>
              <w:bottom w:val="single" w:sz="8" w:space="0" w:color="000000"/>
              <w:end w:val="single" w:sz="8" w:space="0" w:color="000000"/>
            </w:tcBorders>
            <w:shd w:fill="DDDDDD" w:val="clear"/>
            <w:tcMar>
              <w:start w:w="0" w:type="dxa"/>
            </w:tcMar>
            <w:vAlign w:val="center"/>
          </w:tcPr>
          <w:p>
            <w:pPr>
              <w:pStyle w:val="TableContents"/>
              <w:tabs>
                <w:tab w:val="clear" w:pos="709"/>
                <w:tab w:val="left" w:pos="454" w:leader="none"/>
              </w:tabs>
              <w:bidi w:val="0"/>
              <w:spacing w:before="0" w:after="0"/>
              <w:ind w:start="57" w:end="0"/>
              <w:jc w:val="start"/>
              <w:rPr>
                <w:sz w:val="22"/>
                <w:szCs w:val="22"/>
              </w:rPr>
            </w:pPr>
            <w:r>
              <w:rPr>
                <w:rFonts w:cs="Times New Roman" w:ascii="Times New Roman" w:hAnsi="Times New Roman"/>
                <w:b/>
                <w:sz w:val="22"/>
                <w:szCs w:val="22"/>
                <w:lang w:val="en-US"/>
              </w:rPr>
              <w:t>Deliverable</w:t>
            </w:r>
            <w:r>
              <w:rPr>
                <w:rFonts w:cs="Times New Roman" w:ascii="Times New Roman" w:hAnsi="Times New Roman"/>
                <w:b w:val="false"/>
                <w:bCs w:val="false"/>
                <w:sz w:val="22"/>
                <w:szCs w:val="22"/>
                <w:lang w:val="en-US"/>
              </w:rPr>
              <w:t xml:space="preserve"> (authors)</w:t>
            </w:r>
          </w:p>
        </w:tc>
        <w:tc>
          <w:tcPr>
            <w:tcW w:w="900" w:type="dxa"/>
            <w:tcBorders>
              <w:top w:val="single" w:sz="8" w:space="0" w:color="000000"/>
              <w:bottom w:val="single" w:sz="8" w:space="0" w:color="000000"/>
              <w:end w:val="single" w:sz="8" w:space="0" w:color="000000"/>
            </w:tcBorders>
            <w:shd w:fill="DDDDDD" w:val="clear"/>
            <w:tcMar>
              <w:start w:w="0" w:type="dxa"/>
            </w:tcMar>
            <w:vAlign w:val="center"/>
          </w:tcPr>
          <w:p>
            <w:pPr>
              <w:pStyle w:val="TableContents"/>
              <w:widowControl w:val="false"/>
              <w:suppressLineNumbers/>
              <w:suppressAutoHyphens w:val="true"/>
              <w:bidi w:val="0"/>
              <w:spacing w:lineRule="auto" w:line="240" w:before="0" w:after="0"/>
              <w:ind w:hanging="0" w:start="57" w:end="57"/>
              <w:jc w:val="center"/>
              <w:rPr>
                <w:sz w:val="22"/>
                <w:szCs w:val="22"/>
              </w:rPr>
            </w:pPr>
            <w:r>
              <w:rPr>
                <w:rFonts w:cs="Times New Roman" w:ascii="Times New Roman" w:hAnsi="Times New Roman"/>
                <w:b/>
                <w:sz w:val="22"/>
                <w:szCs w:val="22"/>
                <w:lang w:val="en-US"/>
              </w:rPr>
              <w:t>Version</w:t>
            </w:r>
          </w:p>
        </w:tc>
        <w:tc>
          <w:tcPr>
            <w:tcW w:w="971" w:type="dxa"/>
            <w:tcBorders>
              <w:top w:val="single" w:sz="8" w:space="0" w:color="000000"/>
              <w:bottom w:val="single" w:sz="8" w:space="0" w:color="000000"/>
              <w:end w:val="single" w:sz="8" w:space="0" w:color="000000"/>
            </w:tcBorders>
            <w:shd w:fill="DDDDDD" w:val="clear"/>
            <w:tcMar>
              <w:start w:w="0" w:type="dxa"/>
            </w:tcMar>
            <w:vAlign w:val="center"/>
          </w:tcPr>
          <w:p>
            <w:pPr>
              <w:pStyle w:val="TableContents"/>
              <w:bidi w:val="0"/>
              <w:spacing w:before="0" w:after="0"/>
              <w:ind w:end="0"/>
              <w:jc w:val="center"/>
              <w:rPr>
                <w:sz w:val="22"/>
                <w:szCs w:val="22"/>
              </w:rPr>
            </w:pPr>
            <w:r>
              <w:rPr>
                <w:rFonts w:cs="Times New Roman" w:ascii="Times New Roman" w:hAnsi="Times New Roman"/>
                <w:b/>
                <w:sz w:val="22"/>
                <w:szCs w:val="22"/>
                <w:lang w:val="en-US"/>
              </w:rPr>
              <w:t>Deadline</w:t>
            </w:r>
          </w:p>
        </w:tc>
      </w:tr>
      <w:tr>
        <w:trPr>
          <w:trHeight w:val="753" w:hRule="atLeast"/>
        </w:trPr>
        <w:tc>
          <w:tcPr>
            <w:tcW w:w="480" w:type="dxa"/>
            <w:tcBorders>
              <w:top w:val="single" w:sz="8" w:space="0" w:color="000000"/>
              <w:start w:val="single" w:sz="8" w:space="0" w:color="000000"/>
              <w:bottom w:val="single" w:sz="8" w:space="0" w:color="000000"/>
            </w:tcBorders>
            <w:shd w:fill="F6F9D4" w:val="clear"/>
            <w:tcMar>
              <w:top w:w="0" w:type="dxa"/>
              <w:start w:w="0" w:type="dxa"/>
              <w:bottom w:w="0" w:type="dxa"/>
              <w:end w:w="0" w:type="dxa"/>
            </w:tcMar>
            <w:vAlign w:val="center"/>
          </w:tcPr>
          <w:p>
            <w:pPr>
              <w:pStyle w:val="TableContents"/>
              <w:bidi w:val="0"/>
              <w:spacing w:lineRule="auto" w:line="240" w:before="0" w:after="0"/>
              <w:ind w:end="0"/>
              <w:jc w:val="center"/>
              <w:rPr>
                <w:sz w:val="22"/>
                <w:szCs w:val="22"/>
              </w:rPr>
            </w:pPr>
            <w:r>
              <w:rPr>
                <w:sz w:val="22"/>
                <w:szCs w:val="22"/>
              </w:rPr>
              <w:t>1</w:t>
            </w:r>
          </w:p>
        </w:tc>
        <w:tc>
          <w:tcPr>
            <w:tcW w:w="931" w:type="dxa"/>
            <w:vMerge w:val="restart"/>
            <w:tcBorders>
              <w:top w:val="single" w:sz="8" w:space="0" w:color="000000"/>
              <w:start w:val="single" w:sz="8" w:space="0" w:color="000000"/>
              <w:bottom w:val="single" w:sz="8" w:space="0" w:color="000000"/>
            </w:tcBorders>
            <w:shd w:fill="F6F9D4" w:val="clear"/>
            <w:tcMar>
              <w:top w:w="0" w:type="dxa"/>
              <w:start w:w="0" w:type="dxa"/>
              <w:bottom w:w="0" w:type="dxa"/>
              <w:end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sz w:val="22"/>
                <w:szCs w:val="22"/>
                <w:lang w:val="en-US"/>
              </w:rPr>
              <w:t>1</w:t>
            </w:r>
          </w:p>
        </w:tc>
        <w:tc>
          <w:tcPr>
            <w:tcW w:w="6303" w:type="dxa"/>
            <w:tcBorders>
              <w:top w:val="single" w:sz="8" w:space="0" w:color="000000"/>
              <w:start w:val="single" w:sz="8" w:space="0" w:color="000000"/>
              <w:bottom w:val="single" w:sz="8" w:space="0" w:color="000000"/>
            </w:tcBorders>
            <w:shd w:fill="F6F9D4" w:val="clear"/>
            <w:tcMar>
              <w:top w:w="0" w:type="dxa"/>
              <w:start w:w="0" w:type="dxa"/>
              <w:bottom w:w="0" w:type="dxa"/>
              <w:end w:w="0" w:type="dxa"/>
            </w:tcMar>
            <w:vAlign w:val="center"/>
          </w:tcPr>
          <w:p>
            <w:pPr>
              <w:pStyle w:val="TableContents"/>
              <w:tabs>
                <w:tab w:val="clear" w:pos="709"/>
                <w:tab w:val="left" w:pos="454" w:leader="none"/>
              </w:tabs>
              <w:bidi w:val="0"/>
              <w:spacing w:lineRule="auto" w:line="240" w:before="0" w:after="0"/>
              <w:ind w:start="57" w:end="0"/>
              <w:jc w:val="start"/>
              <w:rPr>
                <w:rFonts w:ascii="Times New Roman" w:hAnsi="Times New Roman" w:eastAsia="Times New Roman" w:cs="Times New Roman"/>
                <w:b/>
                <w:sz w:val="22"/>
                <w:szCs w:val="22"/>
                <w:lang w:val="en-US"/>
              </w:rPr>
            </w:pPr>
            <w:r>
              <w:rPr>
                <w:rFonts w:eastAsia="Times New Roman" w:cs="Times New Roman" w:ascii="Times New Roman" w:hAnsi="Times New Roman"/>
                <w:b/>
                <w:sz w:val="22"/>
                <w:szCs w:val="22"/>
                <w:lang w:val="en-US"/>
              </w:rPr>
              <w:t xml:space="preserve">Metadata - definition, semantic description, and FAIR-ification. </w:t>
            </w:r>
            <w:r>
              <w:rPr>
                <w:rFonts w:eastAsia="Times New Roman" w:cs="Times New Roman" w:ascii="Times New Roman" w:hAnsi="Times New Roman"/>
                <w:b w:val="false"/>
                <w:bCs w:val="false"/>
                <w:sz w:val="22"/>
                <w:szCs w:val="22"/>
                <w:lang w:val="en-US"/>
              </w:rPr>
              <w:t xml:space="preserve"> F Carinci S Cunningham, S Fava, N Klazinga, A Lavens, J Lepiksone, M Massi Benedetti, T Poljičanin, P Rossing, J Sándor, I Štotl</w:t>
            </w:r>
          </w:p>
        </w:tc>
        <w:tc>
          <w:tcPr>
            <w:tcW w:w="900" w:type="dxa"/>
            <w:tcBorders>
              <w:top w:val="single" w:sz="8" w:space="0" w:color="000000"/>
              <w:start w:val="single" w:sz="8" w:space="0" w:color="000000"/>
              <w:bottom w:val="single" w:sz="8" w:space="0" w:color="000000"/>
            </w:tcBorders>
            <w:shd w:fill="F6F9D4" w:val="clear"/>
            <w:tcMar>
              <w:top w:w="0" w:type="dxa"/>
              <w:start w:w="0" w:type="dxa"/>
              <w:bottom w:w="0" w:type="dxa"/>
              <w:end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sz w:val="22"/>
                <w:szCs w:val="22"/>
                <w:lang w:val="en-US"/>
              </w:rPr>
            </w:pPr>
            <w:r>
              <w:rPr>
                <w:rFonts w:cs="Times New Roman" w:ascii="Times New Roman" w:hAnsi="Times New Roman"/>
                <w:sz w:val="22"/>
                <w:szCs w:val="22"/>
                <w:lang w:val="en-US"/>
              </w:rPr>
              <w:t xml:space="preserve">Final </w:t>
            </w:r>
          </w:p>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sz w:val="22"/>
                <w:szCs w:val="22"/>
                <w:lang w:val="en-US"/>
              </w:rPr>
            </w:pPr>
            <w:r>
              <w:rPr>
                <w:rFonts w:cs="Times New Roman" w:ascii="Times New Roman" w:hAnsi="Times New Roman"/>
                <w:sz w:val="22"/>
                <w:szCs w:val="22"/>
                <w:lang w:val="en-US"/>
              </w:rPr>
              <w:t>(v. 1.0)</w:t>
            </w:r>
          </w:p>
        </w:tc>
        <w:tc>
          <w:tcPr>
            <w:tcW w:w="971" w:type="dxa"/>
            <w:tcBorders>
              <w:top w:val="single" w:sz="8" w:space="0" w:color="000000"/>
              <w:start w:val="single" w:sz="8" w:space="0" w:color="000000"/>
              <w:bottom w:val="single" w:sz="8" w:space="0" w:color="000000"/>
              <w:end w:val="single" w:sz="8" w:space="0" w:color="000000"/>
            </w:tcBorders>
            <w:shd w:fill="F6F9D4" w:val="clear"/>
            <w:tcMar>
              <w:top w:w="0" w:type="dxa"/>
              <w:start w:w="0" w:type="dxa"/>
              <w:bottom w:w="0" w:type="dxa"/>
              <w:end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18/2/2025</w:t>
            </w:r>
          </w:p>
        </w:tc>
      </w:tr>
      <w:tr>
        <w:trPr>
          <w:trHeight w:val="928" w:hRule="atLeast"/>
        </w:trPr>
        <w:tc>
          <w:tcPr>
            <w:tcW w:w="480" w:type="dxa"/>
            <w:tcBorders>
              <w:start w:val="single" w:sz="8" w:space="0" w:color="000000"/>
              <w:bottom w:val="single" w:sz="8" w:space="0" w:color="000000"/>
            </w:tcBorders>
            <w:shd w:fill="F6F9D4" w:val="clear"/>
            <w:tcMar>
              <w:top w:w="0" w:type="dxa"/>
              <w:start w:w="0" w:type="dxa"/>
              <w:bottom w:w="0" w:type="dxa"/>
              <w:end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sz w:val="22"/>
                <w:szCs w:val="22"/>
                <w:lang w:val="en-US"/>
              </w:rPr>
              <w:t>2</w:t>
            </w:r>
          </w:p>
        </w:tc>
        <w:tc>
          <w:tcPr>
            <w:tcW w:w="931" w:type="dxa"/>
            <w:vMerge w:val="continue"/>
            <w:tcBorders>
              <w:top w:val="single" w:sz="8" w:space="0" w:color="000000"/>
              <w:start w:val="single" w:sz="8" w:space="0" w:color="000000"/>
              <w:bottom w:val="single" w:sz="8" w:space="0" w:color="000000"/>
            </w:tcBorders>
            <w:shd w:fill="F6F9D4" w:val="clear"/>
            <w:tcMar>
              <w:top w:w="0" w:type="dxa"/>
              <w:start w:w="0" w:type="dxa"/>
              <w:bottom w:w="0" w:type="dxa"/>
              <w:end w:w="0" w:type="dxa"/>
            </w:tcMar>
            <w:vAlign w:val="center"/>
          </w:tcPr>
          <w:p>
            <w:pPr>
              <w:pStyle w:val="TableContents"/>
              <w:bidi w:val="0"/>
              <w:spacing w:lineRule="auto" w:line="240" w:before="0" w:after="0"/>
              <w:ind w:end="0"/>
              <w:jc w:val="center"/>
              <w:rPr>
                <w:sz w:val="22"/>
                <w:szCs w:val="22"/>
              </w:rPr>
            </w:pPr>
            <w:r>
              <w:rPr>
                <w:sz w:val="22"/>
                <w:szCs w:val="22"/>
              </w:rPr>
            </w:r>
          </w:p>
        </w:tc>
        <w:tc>
          <w:tcPr>
            <w:tcW w:w="6303" w:type="dxa"/>
            <w:tcBorders>
              <w:start w:val="single" w:sz="8" w:space="0" w:color="000000"/>
              <w:bottom w:val="single" w:sz="8" w:space="0" w:color="000000"/>
            </w:tcBorders>
            <w:shd w:fill="F6F9D4" w:val="clear"/>
            <w:tcMar>
              <w:top w:w="0" w:type="dxa"/>
              <w:start w:w="0" w:type="dxa"/>
              <w:bottom w:w="0" w:type="dxa"/>
              <w:end w:w="0" w:type="dxa"/>
            </w:tcMar>
            <w:vAlign w:val="center"/>
          </w:tcPr>
          <w:p>
            <w:pPr>
              <w:pStyle w:val="TableContents"/>
              <w:tabs>
                <w:tab w:val="clear" w:pos="709"/>
                <w:tab w:val="left" w:pos="454" w:leader="none"/>
              </w:tabs>
              <w:bidi w:val="0"/>
              <w:spacing w:lineRule="auto" w:line="240" w:before="0" w:after="0"/>
              <w:ind w:start="57" w:end="0"/>
              <w:jc w:val="start"/>
              <w:rPr>
                <w:rFonts w:ascii="Times New Roman" w:hAnsi="Times New Roman" w:cs="Times New Roman"/>
                <w:b/>
                <w:sz w:val="22"/>
                <w:szCs w:val="22"/>
                <w:lang w:val="en-US"/>
              </w:rPr>
            </w:pPr>
            <w:r>
              <w:rPr>
                <w:rFonts w:cs="Times New Roman" w:ascii="Times New Roman" w:hAnsi="Times New Roman"/>
                <w:b/>
                <w:sz w:val="22"/>
                <w:szCs w:val="22"/>
                <w:lang w:val="en-US"/>
              </w:rPr>
              <w:t xml:space="preserve">Indicator framework. Diabetes Indicators Core Set. </w:t>
            </w:r>
            <w:r>
              <w:rPr>
                <w:rFonts w:cs="Times New Roman" w:ascii="Times New Roman" w:hAnsi="Times New Roman"/>
                <w:b w:val="false"/>
                <w:bCs w:val="false"/>
                <w:sz w:val="22"/>
                <w:szCs w:val="22"/>
                <w:lang w:val="en-US"/>
              </w:rPr>
              <w:t>F Carinci, S Cunningham, S Fava, N Klazinga, A Lavens, J Lepiksone, M Massi Benedetti,  T Poljičanin,  P Rossing, I Štotl</w:t>
            </w:r>
          </w:p>
        </w:tc>
        <w:tc>
          <w:tcPr>
            <w:tcW w:w="900" w:type="dxa"/>
            <w:tcBorders>
              <w:start w:val="single" w:sz="8" w:space="0" w:color="000000"/>
              <w:bottom w:val="single" w:sz="8" w:space="0" w:color="000000"/>
            </w:tcBorders>
            <w:shd w:fill="F6F9D4" w:val="clear"/>
            <w:tcMar>
              <w:top w:w="0" w:type="dxa"/>
              <w:start w:w="0" w:type="dxa"/>
              <w:bottom w:w="0" w:type="dxa"/>
              <w:end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sz w:val="22"/>
                <w:szCs w:val="22"/>
                <w:lang w:val="en-US"/>
              </w:rPr>
            </w:pPr>
            <w:r>
              <w:rPr>
                <w:rFonts w:cs="Times New Roman" w:ascii="Times New Roman" w:hAnsi="Times New Roman"/>
                <w:sz w:val="22"/>
                <w:szCs w:val="22"/>
                <w:lang w:val="en-US"/>
              </w:rPr>
              <w:t>Final (v.5.1.3)</w:t>
            </w:r>
          </w:p>
        </w:tc>
        <w:tc>
          <w:tcPr>
            <w:tcW w:w="971" w:type="dxa"/>
            <w:tcBorders>
              <w:start w:val="single" w:sz="8" w:space="0" w:color="000000"/>
              <w:bottom w:val="single" w:sz="8" w:space="0" w:color="000000"/>
              <w:end w:val="single" w:sz="8" w:space="0" w:color="000000"/>
            </w:tcBorders>
            <w:shd w:fill="F6F9D4" w:val="clear"/>
            <w:tcMar>
              <w:top w:w="0" w:type="dxa"/>
              <w:start w:w="0" w:type="dxa"/>
              <w:bottom w:w="0" w:type="dxa"/>
              <w:end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6/4/2025</w:t>
            </w:r>
          </w:p>
        </w:tc>
      </w:tr>
      <w:tr>
        <w:trPr/>
        <w:tc>
          <w:tcPr>
            <w:tcW w:w="480" w:type="dxa"/>
            <w:tcBorders>
              <w:start w:val="single" w:sz="8" w:space="0" w:color="000000"/>
              <w:bottom w:val="single" w:sz="8" w:space="0" w:color="000000"/>
            </w:tcBorders>
            <w:shd w:fill="F6F9D4" w:val="clear"/>
            <w:tcMar>
              <w:top w:w="0" w:type="dxa"/>
              <w:start w:w="0" w:type="dxa"/>
              <w:bottom w:w="0" w:type="dxa"/>
              <w:end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sz w:val="22"/>
                <w:szCs w:val="22"/>
                <w:lang w:val="en-US"/>
              </w:rPr>
              <w:t>3</w:t>
            </w:r>
          </w:p>
        </w:tc>
        <w:tc>
          <w:tcPr>
            <w:tcW w:w="931" w:type="dxa"/>
            <w:vMerge w:val="continue"/>
            <w:tcBorders>
              <w:top w:val="single" w:sz="8" w:space="0" w:color="000000"/>
              <w:start w:val="single" w:sz="8" w:space="0" w:color="000000"/>
              <w:bottom w:val="single" w:sz="8" w:space="0" w:color="000000"/>
            </w:tcBorders>
            <w:shd w:fill="F6F9D4" w:val="clear"/>
            <w:tcMar>
              <w:top w:w="0" w:type="dxa"/>
              <w:start w:w="0" w:type="dxa"/>
              <w:bottom w:w="0" w:type="dxa"/>
              <w:end w:w="0" w:type="dxa"/>
            </w:tcMar>
            <w:vAlign w:val="center"/>
          </w:tcPr>
          <w:p>
            <w:pPr>
              <w:pStyle w:val="TableContents"/>
              <w:bidi w:val="0"/>
              <w:snapToGrid w:val="false"/>
              <w:spacing w:lineRule="auto" w:line="240" w:before="0" w:after="0"/>
              <w:ind w:end="0"/>
              <w:jc w:val="center"/>
              <w:rPr>
                <w:rFonts w:ascii="Times New Roman" w:hAnsi="Times New Roman" w:cs="Times New Roman"/>
                <w:sz w:val="22"/>
                <w:szCs w:val="22"/>
                <w:lang w:val="en-US"/>
              </w:rPr>
            </w:pPr>
            <w:r>
              <w:rPr>
                <w:rFonts w:cs="Times New Roman" w:ascii="Times New Roman" w:hAnsi="Times New Roman"/>
                <w:sz w:val="22"/>
                <w:szCs w:val="22"/>
                <w:lang w:val="en-US"/>
              </w:rPr>
            </w:r>
          </w:p>
        </w:tc>
        <w:tc>
          <w:tcPr>
            <w:tcW w:w="6303" w:type="dxa"/>
            <w:tcBorders>
              <w:start w:val="single" w:sz="8" w:space="0" w:color="000000"/>
              <w:bottom w:val="single" w:sz="8" w:space="0" w:color="000000"/>
            </w:tcBorders>
            <w:shd w:fill="F6F9D4" w:val="clear"/>
            <w:tcMar>
              <w:top w:w="0" w:type="dxa"/>
              <w:start w:w="0" w:type="dxa"/>
              <w:bottom w:w="0" w:type="dxa"/>
              <w:end w:w="0" w:type="dxa"/>
            </w:tcMar>
            <w:vAlign w:val="center"/>
          </w:tcPr>
          <w:p>
            <w:pPr>
              <w:pStyle w:val="TableContents"/>
              <w:tabs>
                <w:tab w:val="clear" w:pos="709"/>
                <w:tab w:val="left" w:pos="454" w:leader="none"/>
              </w:tabs>
              <w:bidi w:val="0"/>
              <w:spacing w:lineRule="auto" w:line="240" w:before="0" w:after="0"/>
              <w:ind w:start="57" w:end="0"/>
              <w:jc w:val="start"/>
              <w:rPr>
                <w:rFonts w:ascii="Times New Roman" w:hAnsi="Times New Roman" w:cs="Times New Roman"/>
                <w:b/>
                <w:color w:val="000000"/>
                <w:sz w:val="22"/>
                <w:szCs w:val="22"/>
                <w:lang w:val="en-US"/>
              </w:rPr>
            </w:pPr>
            <w:r>
              <w:rPr>
                <w:rFonts w:cs="Times New Roman" w:ascii="Times New Roman" w:hAnsi="Times New Roman"/>
                <w:b/>
                <w:color w:val="000000"/>
                <w:sz w:val="22"/>
                <w:szCs w:val="22"/>
                <w:lang w:val="en-US"/>
              </w:rPr>
              <w:t>Technical report specifying the description,</w:t>
            </w:r>
          </w:p>
          <w:p>
            <w:pPr>
              <w:pStyle w:val="TableContents"/>
              <w:tabs>
                <w:tab w:val="clear" w:pos="709"/>
                <w:tab w:val="left" w:pos="454" w:leader="none"/>
              </w:tabs>
              <w:bidi w:val="0"/>
              <w:spacing w:lineRule="auto" w:line="240" w:before="0" w:after="0"/>
              <w:ind w:start="57" w:end="0"/>
              <w:jc w:val="start"/>
              <w:rPr>
                <w:rFonts w:ascii="Times New Roman" w:hAnsi="Times New Roman" w:cs="Times New Roman"/>
                <w:color w:val="000000"/>
                <w:sz w:val="22"/>
                <w:szCs w:val="22"/>
              </w:rPr>
            </w:pPr>
            <w:r>
              <w:rPr>
                <w:rFonts w:cs="Times New Roman" w:ascii="Times New Roman" w:hAnsi="Times New Roman"/>
                <w:b/>
                <w:color w:val="000000"/>
                <w:sz w:val="22"/>
                <w:szCs w:val="22"/>
                <w:lang w:val="en-US"/>
              </w:rPr>
              <w:t xml:space="preserve">metadata and contextualisation of indicators from data sources and registries to enable routine federated reporting of NCDs in Europe. </w:t>
            </w:r>
            <w:r>
              <w:rPr>
                <w:rFonts w:cs="Times New Roman" w:ascii="Times New Roman" w:hAnsi="Times New Roman"/>
                <w:color w:val="000000"/>
                <w:sz w:val="22"/>
                <w:szCs w:val="22"/>
              </w:rPr>
              <w:t>F Carinci, S Cunningham, J Dimnjaković, S Fava, T Poljičanin, I Štotl</w:t>
            </w:r>
          </w:p>
        </w:tc>
        <w:tc>
          <w:tcPr>
            <w:tcW w:w="900" w:type="dxa"/>
            <w:tcBorders>
              <w:start w:val="single" w:sz="8" w:space="0" w:color="000000"/>
              <w:bottom w:val="single" w:sz="8" w:space="0" w:color="000000"/>
            </w:tcBorders>
            <w:shd w:fill="F6F9D4" w:val="clear"/>
            <w:tcMar>
              <w:top w:w="0" w:type="dxa"/>
              <w:start w:w="0" w:type="dxa"/>
              <w:bottom w:w="0" w:type="dxa"/>
              <w:end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Final (v.1.0)</w:t>
            </w:r>
          </w:p>
        </w:tc>
        <w:tc>
          <w:tcPr>
            <w:tcW w:w="971" w:type="dxa"/>
            <w:tcBorders>
              <w:start w:val="single" w:sz="8" w:space="0" w:color="000000"/>
              <w:bottom w:val="single" w:sz="8" w:space="0" w:color="000000"/>
              <w:end w:val="single" w:sz="8" w:space="0" w:color="000000"/>
            </w:tcBorders>
            <w:shd w:fill="F6F9D4" w:val="clear"/>
            <w:tcMar>
              <w:top w:w="0" w:type="dxa"/>
              <w:start w:w="0" w:type="dxa"/>
              <w:bottom w:w="0" w:type="dxa"/>
              <w:end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25/9/2026</w:t>
            </w:r>
          </w:p>
        </w:tc>
      </w:tr>
      <w:tr>
        <w:trPr>
          <w:trHeight w:val="1138" w:hRule="atLeast"/>
        </w:trPr>
        <w:tc>
          <w:tcPr>
            <w:tcW w:w="480" w:type="dxa"/>
            <w:tcBorders>
              <w:start w:val="single" w:sz="8" w:space="0" w:color="000000"/>
              <w:bottom w:val="single" w:sz="8" w:space="0" w:color="000000"/>
            </w:tcBorders>
            <w:shd w:fill="FFD8CE" w:val="clear"/>
            <w:tcMar>
              <w:top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4</w:t>
            </w:r>
          </w:p>
        </w:tc>
        <w:tc>
          <w:tcPr>
            <w:tcW w:w="931" w:type="dxa"/>
            <w:vMerge w:val="restart"/>
            <w:tcBorders>
              <w:start w:val="single" w:sz="8" w:space="0" w:color="000000"/>
              <w:bottom w:val="single" w:sz="8" w:space="0" w:color="000000"/>
            </w:tcBorders>
            <w:shd w:fill="FFD8CE" w:val="clear"/>
            <w:tcMar>
              <w:top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sz w:val="22"/>
                <w:szCs w:val="22"/>
                <w:lang w:val="en-US"/>
              </w:rPr>
              <w:t>2</w:t>
            </w:r>
          </w:p>
        </w:tc>
        <w:tc>
          <w:tcPr>
            <w:tcW w:w="6303" w:type="dxa"/>
            <w:tcBorders>
              <w:start w:val="single" w:sz="8" w:space="0" w:color="000000"/>
              <w:bottom w:val="single" w:sz="8" w:space="0" w:color="000000"/>
              <w:end w:val="single" w:sz="8" w:space="0" w:color="000000"/>
            </w:tcBorders>
            <w:shd w:fill="FFD8CE" w:val="clear"/>
            <w:tcMar>
              <w:top w:w="0" w:type="dxa"/>
              <w:start w:w="0" w:type="dxa"/>
            </w:tcMar>
            <w:vAlign w:val="center"/>
          </w:tcPr>
          <w:p>
            <w:pPr>
              <w:pStyle w:val="TableContents"/>
              <w:tabs>
                <w:tab w:val="clear" w:pos="709"/>
                <w:tab w:val="left" w:pos="454" w:leader="none"/>
              </w:tabs>
              <w:bidi w:val="0"/>
              <w:spacing w:lineRule="auto" w:line="240" w:before="0" w:after="0"/>
              <w:ind w:start="57" w:end="0"/>
              <w:jc w:val="start"/>
              <w:rPr>
                <w:rFonts w:ascii="Times New Roman" w:hAnsi="Times New Roman" w:cs="Times New Roman"/>
                <w:b/>
                <w:sz w:val="22"/>
                <w:szCs w:val="22"/>
                <w:lang w:val="en-US"/>
              </w:rPr>
            </w:pPr>
            <w:r>
              <w:rPr>
                <w:rFonts w:cs="Times New Roman" w:ascii="Times New Roman" w:hAnsi="Times New Roman"/>
                <w:b/>
                <w:sz w:val="22"/>
                <w:szCs w:val="22"/>
                <w:lang w:val="en-US"/>
              </w:rPr>
              <w:t>Use of federated software to measure the impact</w:t>
            </w:r>
          </w:p>
          <w:p>
            <w:pPr>
              <w:pStyle w:val="TableContents"/>
              <w:tabs>
                <w:tab w:val="clear" w:pos="709"/>
                <w:tab w:val="left" w:pos="454" w:leader="none"/>
              </w:tabs>
              <w:bidi w:val="0"/>
              <w:spacing w:lineRule="auto" w:line="240" w:before="0" w:after="0"/>
              <w:ind w:start="57" w:end="0"/>
              <w:jc w:val="start"/>
              <w:rPr>
                <w:sz w:val="22"/>
                <w:szCs w:val="22"/>
              </w:rPr>
            </w:pPr>
            <w:r>
              <w:rPr>
                <w:rFonts w:cs="Times New Roman" w:ascii="Times New Roman" w:hAnsi="Times New Roman"/>
                <w:b/>
                <w:sz w:val="22"/>
                <w:szCs w:val="22"/>
                <w:lang w:val="en-US"/>
              </w:rPr>
              <w:t xml:space="preserve">of risk factors and data quality for cardiovascular risk prediction among people with diabetes, using cohorts extracted from federated diabetes registers in Europe. </w:t>
            </w:r>
            <w:r>
              <w:rPr>
                <w:rFonts w:cs="Times New Roman" w:ascii="Times New Roman" w:hAnsi="Times New Roman"/>
                <w:b w:val="false"/>
                <w:bCs w:val="false"/>
                <w:sz w:val="22"/>
                <w:szCs w:val="22"/>
                <w:lang w:val="en-US"/>
              </w:rPr>
              <w:t>F Carinci, S Cunningham, I Stotl, Z Baltane, S Fava</w:t>
            </w:r>
          </w:p>
        </w:tc>
        <w:tc>
          <w:tcPr>
            <w:tcW w:w="900" w:type="dxa"/>
            <w:tcBorders>
              <w:bottom w:val="single" w:sz="8" w:space="0" w:color="000000"/>
              <w:end w:val="single" w:sz="8" w:space="0" w:color="000000"/>
            </w:tcBorders>
            <w:shd w:fill="FFD8CE" w:val="clear"/>
            <w:tcMar>
              <w:top w:w="0" w:type="dxa"/>
              <w:start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sz w:val="22"/>
                <w:szCs w:val="22"/>
                <w:lang w:val="en-US"/>
              </w:rPr>
            </w:pPr>
            <w:r>
              <w:rPr>
                <w:rFonts w:cs="Times New Roman" w:ascii="Times New Roman" w:hAnsi="Times New Roman"/>
                <w:sz w:val="22"/>
                <w:szCs w:val="22"/>
                <w:lang w:val="en-US"/>
              </w:rPr>
              <w:t>Final (v.1.1)</w:t>
            </w:r>
          </w:p>
        </w:tc>
        <w:tc>
          <w:tcPr>
            <w:tcW w:w="971" w:type="dxa"/>
            <w:tcBorders>
              <w:bottom w:val="single" w:sz="8" w:space="0" w:color="000000"/>
              <w:end w:val="single" w:sz="8" w:space="0" w:color="000000"/>
            </w:tcBorders>
            <w:shd w:fill="FFD8CE" w:val="clear"/>
            <w:tcMar>
              <w:top w:w="0" w:type="dxa"/>
              <w:start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17/9/2024</w:t>
            </w:r>
          </w:p>
        </w:tc>
      </w:tr>
      <w:tr>
        <w:trPr/>
        <w:tc>
          <w:tcPr>
            <w:tcW w:w="480" w:type="dxa"/>
            <w:tcBorders>
              <w:start w:val="single" w:sz="8" w:space="0" w:color="000000"/>
              <w:bottom w:val="single" w:sz="8" w:space="0" w:color="000000"/>
            </w:tcBorders>
            <w:shd w:fill="FFD8CE" w:val="clear"/>
            <w:tcMar>
              <w:top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5</w:t>
            </w:r>
          </w:p>
        </w:tc>
        <w:tc>
          <w:tcPr>
            <w:tcW w:w="931" w:type="dxa"/>
            <w:vMerge w:val="continue"/>
            <w:tcBorders>
              <w:start w:val="single" w:sz="8" w:space="0" w:color="000000"/>
              <w:bottom w:val="single" w:sz="8" w:space="0" w:color="000000"/>
            </w:tcBorders>
            <w:shd w:fill="FFD8CE" w:val="clear"/>
            <w:tcMar>
              <w:top w:w="0" w:type="dxa"/>
            </w:tcMar>
            <w:vAlign w:val="center"/>
          </w:tcPr>
          <w:p>
            <w:pPr>
              <w:pStyle w:val="TableContents"/>
              <w:bidi w:val="0"/>
              <w:snapToGrid w:val="false"/>
              <w:spacing w:lineRule="auto" w:line="240" w:before="0" w:after="0"/>
              <w:ind w:end="0"/>
              <w:jc w:val="center"/>
              <w:rPr>
                <w:rFonts w:ascii="Times New Roman" w:hAnsi="Times New Roman" w:cs="Times New Roman"/>
                <w:sz w:val="22"/>
                <w:szCs w:val="22"/>
                <w:lang w:val="en-US"/>
              </w:rPr>
            </w:pPr>
            <w:r>
              <w:rPr>
                <w:rFonts w:cs="Times New Roman" w:ascii="Times New Roman" w:hAnsi="Times New Roman"/>
                <w:sz w:val="22"/>
                <w:szCs w:val="22"/>
                <w:lang w:val="en-US"/>
              </w:rPr>
            </w:r>
          </w:p>
        </w:tc>
        <w:tc>
          <w:tcPr>
            <w:tcW w:w="6303" w:type="dxa"/>
            <w:tcBorders>
              <w:start w:val="single" w:sz="8" w:space="0" w:color="000000"/>
              <w:bottom w:val="single" w:sz="8" w:space="0" w:color="000000"/>
              <w:end w:val="single" w:sz="8" w:space="0" w:color="000000"/>
            </w:tcBorders>
            <w:shd w:fill="FFD8CE" w:val="clear"/>
            <w:tcMar>
              <w:top w:w="0" w:type="dxa"/>
              <w:start w:w="0" w:type="dxa"/>
            </w:tcMar>
            <w:vAlign w:val="center"/>
          </w:tcPr>
          <w:p>
            <w:pPr>
              <w:pStyle w:val="TableContents"/>
              <w:tabs>
                <w:tab w:val="clear" w:pos="709"/>
                <w:tab w:val="left" w:pos="454" w:leader="none"/>
              </w:tabs>
              <w:bidi w:val="0"/>
              <w:spacing w:lineRule="auto" w:line="240" w:before="0" w:after="0"/>
              <w:ind w:start="57" w:end="0"/>
              <w:jc w:val="start"/>
              <w:rPr>
                <w:rFonts w:ascii="Times New Roman" w:hAnsi="Times New Roman"/>
                <w:b/>
                <w:bCs/>
                <w:sz w:val="22"/>
                <w:szCs w:val="22"/>
              </w:rPr>
            </w:pPr>
            <w:r>
              <w:rPr>
                <w:rFonts w:ascii="Times New Roman" w:hAnsi="Times New Roman"/>
                <w:b/>
                <w:bCs/>
                <w:sz w:val="22"/>
                <w:szCs w:val="22"/>
              </w:rPr>
              <w:t xml:space="preserve">Operational plan to build a coherent EU Information System for NCDs: design of targeted studies for the timely reporting of NCD indicators in the European Health Data Space. </w:t>
            </w:r>
            <w:r>
              <w:rPr>
                <w:rFonts w:ascii="Times New Roman" w:hAnsi="Times New Roman"/>
                <w:b w:val="false"/>
                <w:bCs w:val="false"/>
                <w:sz w:val="22"/>
                <w:szCs w:val="22"/>
              </w:rPr>
              <w:t>F Carinci, I Stotl</w:t>
            </w:r>
          </w:p>
        </w:tc>
        <w:tc>
          <w:tcPr>
            <w:tcW w:w="900" w:type="dxa"/>
            <w:tcBorders>
              <w:bottom w:val="single" w:sz="8" w:space="0" w:color="000000"/>
              <w:end w:val="single" w:sz="8" w:space="0" w:color="000000"/>
            </w:tcBorders>
            <w:shd w:fill="FFD8CE" w:val="clear"/>
            <w:tcMar>
              <w:top w:w="0" w:type="dxa"/>
              <w:start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 xml:space="preserve">Final </w:t>
            </w:r>
          </w:p>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(v. 1.1)</w:t>
            </w:r>
          </w:p>
        </w:tc>
        <w:tc>
          <w:tcPr>
            <w:tcW w:w="971" w:type="dxa"/>
            <w:tcBorders>
              <w:bottom w:val="single" w:sz="8" w:space="0" w:color="000000"/>
              <w:end w:val="single" w:sz="8" w:space="0" w:color="000000"/>
            </w:tcBorders>
            <w:shd w:fill="FFD8CE" w:val="clear"/>
            <w:tcMar>
              <w:top w:w="0" w:type="dxa"/>
              <w:start w:w="0" w:type="dxa"/>
            </w:tcMar>
            <w:vAlign w:val="center"/>
          </w:tcPr>
          <w:p>
            <w:pPr>
              <w:pStyle w:val="TableContents"/>
              <w:bidi w:val="0"/>
              <w:spacing w:lineRule="auto" w:line="240" w:before="0" w:after="0"/>
              <w:ind w:end="0"/>
              <w:jc w:val="center"/>
              <w:rPr>
                <w:rFonts w:ascii="Times New Roman" w:hAnsi="Times New Roman"/>
                <w:sz w:val="22"/>
                <w:szCs w:val="22"/>
              </w:rPr>
            </w:pPr>
            <w:r>
              <w:rPr>
                <w:rFonts w:ascii="Times New Roman" w:hAnsi="Times New Roman"/>
                <w:sz w:val="22"/>
                <w:szCs w:val="22"/>
              </w:rPr>
              <w:t>11/3/2025</w:t>
            </w:r>
          </w:p>
        </w:tc>
      </w:tr>
      <w:tr>
        <w:trPr/>
        <w:tc>
          <w:tcPr>
            <w:tcW w:w="480" w:type="dxa"/>
            <w:tcBorders>
              <w:start w:val="single" w:sz="8" w:space="0" w:color="000000"/>
              <w:bottom w:val="single" w:sz="8" w:space="0" w:color="000000"/>
            </w:tcBorders>
            <w:shd w:fill="FFD8CE" w:val="clear"/>
            <w:tcMar>
              <w:top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6</w:t>
            </w:r>
          </w:p>
        </w:tc>
        <w:tc>
          <w:tcPr>
            <w:tcW w:w="931" w:type="dxa"/>
            <w:vMerge w:val="continue"/>
            <w:tcBorders>
              <w:start w:val="single" w:sz="8" w:space="0" w:color="000000"/>
              <w:bottom w:val="single" w:sz="8" w:space="0" w:color="000000"/>
            </w:tcBorders>
            <w:shd w:fill="FFD8CE" w:val="clear"/>
            <w:tcMar>
              <w:top w:w="0" w:type="dxa"/>
            </w:tcMar>
            <w:vAlign w:val="center"/>
          </w:tcPr>
          <w:p>
            <w:pPr>
              <w:pStyle w:val="TableContents"/>
              <w:bidi w:val="0"/>
              <w:snapToGrid w:val="false"/>
              <w:spacing w:lineRule="auto" w:line="240" w:before="0" w:after="0"/>
              <w:ind w:end="0"/>
              <w:jc w:val="center"/>
              <w:rPr>
                <w:rFonts w:ascii="Times New Roman" w:hAnsi="Times New Roman" w:cs="Times New Roman"/>
                <w:sz w:val="22"/>
                <w:szCs w:val="22"/>
                <w:lang w:val="en-US"/>
              </w:rPr>
            </w:pPr>
            <w:r>
              <w:rPr>
                <w:rFonts w:cs="Times New Roman" w:ascii="Times New Roman" w:hAnsi="Times New Roman"/>
                <w:sz w:val="22"/>
                <w:szCs w:val="22"/>
                <w:lang w:val="en-US"/>
              </w:rPr>
            </w:r>
          </w:p>
        </w:tc>
        <w:tc>
          <w:tcPr>
            <w:tcW w:w="6303" w:type="dxa"/>
            <w:tcBorders>
              <w:start w:val="single" w:sz="8" w:space="0" w:color="000000"/>
              <w:bottom w:val="single" w:sz="8" w:space="0" w:color="000000"/>
              <w:end w:val="single" w:sz="8" w:space="0" w:color="000000"/>
            </w:tcBorders>
            <w:shd w:fill="FFD8CE" w:val="clear"/>
            <w:tcMar>
              <w:top w:w="0" w:type="dxa"/>
              <w:start w:w="0" w:type="dxa"/>
            </w:tcMar>
            <w:vAlign w:val="center"/>
          </w:tcPr>
          <w:p>
            <w:pPr>
              <w:pStyle w:val="TableContents"/>
              <w:tabs>
                <w:tab w:val="clear" w:pos="709"/>
                <w:tab w:val="left" w:pos="454" w:leader="none"/>
              </w:tabs>
              <w:bidi w:val="0"/>
              <w:spacing w:lineRule="auto" w:line="240" w:before="0" w:after="0"/>
              <w:ind w:start="57" w:end="0"/>
              <w:jc w:val="start"/>
              <w:rPr>
                <w:sz w:val="22"/>
                <w:szCs w:val="22"/>
              </w:rPr>
            </w:pPr>
            <w:r>
              <w:rPr>
                <w:rFonts w:cs="Times New Roman" w:ascii="Times New Roman" w:hAnsi="Times New Roman"/>
                <w:b/>
                <w:color w:val="000000"/>
                <w:sz w:val="22"/>
                <w:szCs w:val="22"/>
                <w:lang w:val="en-US"/>
              </w:rPr>
              <w:t xml:space="preserve">Updated method to carry out automated reviews of data sources and registers across NCDs in EU countries: an application on needs and gaps for CVD risk stratification in diabetes. </w:t>
            </w:r>
            <w:r>
              <w:rPr>
                <w:rFonts w:cs="Times New Roman" w:ascii="Times New Roman" w:hAnsi="Times New Roman"/>
                <w:b w:val="false"/>
                <w:bCs w:val="false"/>
                <w:color w:val="000000"/>
                <w:sz w:val="22"/>
                <w:szCs w:val="22"/>
                <w:lang w:val="en-US"/>
              </w:rPr>
              <w:t xml:space="preserve">F Carinci, S Fava, I Stotl </w:t>
            </w:r>
          </w:p>
        </w:tc>
        <w:tc>
          <w:tcPr>
            <w:tcW w:w="900" w:type="dxa"/>
            <w:tcBorders>
              <w:bottom w:val="single" w:sz="8" w:space="0" w:color="000000"/>
              <w:end w:val="single" w:sz="8" w:space="0" w:color="000000"/>
            </w:tcBorders>
            <w:shd w:fill="FFD8CE" w:val="clear"/>
            <w:tcMar>
              <w:top w:w="0" w:type="dxa"/>
              <w:start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 xml:space="preserve">Final </w:t>
            </w:r>
          </w:p>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(v. 0.5)</w:t>
            </w:r>
          </w:p>
        </w:tc>
        <w:tc>
          <w:tcPr>
            <w:tcW w:w="971" w:type="dxa"/>
            <w:tcBorders>
              <w:bottom w:val="single" w:sz="8" w:space="0" w:color="000000"/>
              <w:end w:val="single" w:sz="8" w:space="0" w:color="000000"/>
            </w:tcBorders>
            <w:shd w:fill="FFD8CE" w:val="clear"/>
            <w:tcMar>
              <w:top w:w="0" w:type="dxa"/>
              <w:start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17/4/2025</w:t>
            </w:r>
          </w:p>
        </w:tc>
      </w:tr>
      <w:tr>
        <w:trPr/>
        <w:tc>
          <w:tcPr>
            <w:tcW w:w="480" w:type="dxa"/>
            <w:tcBorders>
              <w:start w:val="single" w:sz="8" w:space="0" w:color="000000"/>
              <w:bottom w:val="single" w:sz="8" w:space="0" w:color="000000"/>
            </w:tcBorders>
            <w:shd w:fill="FFD8CE" w:val="clear"/>
            <w:tcMar>
              <w:top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7</w:t>
            </w:r>
          </w:p>
        </w:tc>
        <w:tc>
          <w:tcPr>
            <w:tcW w:w="931" w:type="dxa"/>
            <w:vMerge w:val="continue"/>
            <w:tcBorders>
              <w:start w:val="single" w:sz="8" w:space="0" w:color="000000"/>
              <w:bottom w:val="single" w:sz="8" w:space="0" w:color="000000"/>
            </w:tcBorders>
            <w:shd w:fill="FFD8CE" w:val="clear"/>
            <w:tcMar>
              <w:top w:w="0" w:type="dxa"/>
            </w:tcMar>
            <w:vAlign w:val="center"/>
          </w:tcPr>
          <w:p>
            <w:pPr>
              <w:pStyle w:val="TableContents"/>
              <w:bidi w:val="0"/>
              <w:snapToGrid w:val="false"/>
              <w:spacing w:lineRule="auto" w:line="240" w:before="0" w:after="0"/>
              <w:ind w:end="0"/>
              <w:jc w:val="center"/>
              <w:rPr>
                <w:rFonts w:ascii="Times New Roman" w:hAnsi="Times New Roman" w:cs="Times New Roman"/>
                <w:sz w:val="22"/>
                <w:szCs w:val="22"/>
                <w:lang w:val="en-US"/>
              </w:rPr>
            </w:pPr>
            <w:r>
              <w:rPr>
                <w:rFonts w:cs="Times New Roman" w:ascii="Times New Roman" w:hAnsi="Times New Roman"/>
                <w:sz w:val="22"/>
                <w:szCs w:val="22"/>
                <w:lang w:val="en-US"/>
              </w:rPr>
            </w:r>
          </w:p>
        </w:tc>
        <w:tc>
          <w:tcPr>
            <w:tcW w:w="6303" w:type="dxa"/>
            <w:tcBorders>
              <w:start w:val="single" w:sz="8" w:space="0" w:color="000000"/>
              <w:bottom w:val="single" w:sz="8" w:space="0" w:color="000000"/>
              <w:end w:val="single" w:sz="8" w:space="0" w:color="000000"/>
            </w:tcBorders>
            <w:shd w:fill="FFD8CE" w:val="clear"/>
            <w:tcMar>
              <w:top w:w="0" w:type="dxa"/>
              <w:start w:w="0" w:type="dxa"/>
            </w:tcMar>
            <w:vAlign w:val="center"/>
          </w:tcPr>
          <w:p>
            <w:pPr>
              <w:pStyle w:val="TableContents"/>
              <w:tabs>
                <w:tab w:val="clear" w:pos="709"/>
                <w:tab w:val="left" w:pos="454" w:leader="none"/>
              </w:tabs>
              <w:bidi w:val="0"/>
              <w:spacing w:lineRule="auto" w:line="240" w:before="0" w:after="0"/>
              <w:ind w:start="57" w:end="0"/>
              <w:jc w:val="start"/>
              <w:rPr>
                <w:b/>
                <w:sz w:val="22"/>
                <w:szCs w:val="22"/>
              </w:rPr>
            </w:pPr>
            <w:r>
              <w:rPr>
                <w:rFonts w:cs="Times New Roman" w:ascii="Times New Roman" w:hAnsi="Times New Roman"/>
                <w:b/>
                <w:color w:val="000000"/>
                <w:sz w:val="22"/>
                <w:szCs w:val="22"/>
                <w:lang w:val="en-US"/>
              </w:rPr>
              <w:t xml:space="preserve">A proposal for a federated data analysis framework with practical examples provided of specific indicators </w:t>
            </w:r>
            <w:r>
              <w:rPr>
                <w:rFonts w:cs="Times New Roman" w:ascii="Times New Roman" w:hAnsi="Times New Roman"/>
                <w:b w:val="false"/>
                <w:bCs w:val="false"/>
                <w:color w:val="000000"/>
                <w:sz w:val="22"/>
                <w:szCs w:val="22"/>
                <w:lang w:val="en-US"/>
              </w:rPr>
              <w:t>S Fava, F Carinci</w:t>
            </w:r>
          </w:p>
        </w:tc>
        <w:tc>
          <w:tcPr>
            <w:tcW w:w="900" w:type="dxa"/>
            <w:tcBorders>
              <w:bottom w:val="single" w:sz="8" w:space="0" w:color="000000"/>
              <w:end w:val="single" w:sz="8" w:space="0" w:color="000000"/>
            </w:tcBorders>
            <w:shd w:fill="FFD8CE" w:val="clear"/>
            <w:tcMar>
              <w:top w:w="0" w:type="dxa"/>
              <w:start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 xml:space="preserve">Final </w:t>
            </w:r>
          </w:p>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(v. 0.3)</w:t>
            </w:r>
          </w:p>
        </w:tc>
        <w:tc>
          <w:tcPr>
            <w:tcW w:w="971" w:type="dxa"/>
            <w:tcBorders>
              <w:bottom w:val="single" w:sz="8" w:space="0" w:color="000000"/>
              <w:end w:val="single" w:sz="8" w:space="0" w:color="000000"/>
            </w:tcBorders>
            <w:shd w:fill="FFD8CE" w:val="clear"/>
            <w:tcMar>
              <w:top w:w="0" w:type="dxa"/>
              <w:start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28/4/2025</w:t>
            </w:r>
          </w:p>
        </w:tc>
      </w:tr>
      <w:tr>
        <w:trPr/>
        <w:tc>
          <w:tcPr>
            <w:tcW w:w="480" w:type="dxa"/>
            <w:tcBorders>
              <w:start w:val="single" w:sz="8" w:space="0" w:color="000000"/>
              <w:bottom w:val="single" w:sz="8" w:space="0" w:color="000000"/>
            </w:tcBorders>
            <w:shd w:fill="FFD8CE" w:val="clear"/>
            <w:tcMar>
              <w:top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8</w:t>
            </w:r>
          </w:p>
        </w:tc>
        <w:tc>
          <w:tcPr>
            <w:tcW w:w="931" w:type="dxa"/>
            <w:vMerge w:val="continue"/>
            <w:tcBorders>
              <w:start w:val="single" w:sz="8" w:space="0" w:color="000000"/>
              <w:bottom w:val="single" w:sz="8" w:space="0" w:color="000000"/>
            </w:tcBorders>
            <w:shd w:fill="FFD8CE" w:val="clear"/>
            <w:tcMar>
              <w:top w:w="0" w:type="dxa"/>
            </w:tcMar>
            <w:vAlign w:val="center"/>
          </w:tcPr>
          <w:p>
            <w:pPr>
              <w:pStyle w:val="TableContents"/>
              <w:bidi w:val="0"/>
              <w:snapToGrid w:val="false"/>
              <w:spacing w:lineRule="auto" w:line="240" w:before="0" w:after="0"/>
              <w:ind w:end="0"/>
              <w:jc w:val="center"/>
              <w:rPr>
                <w:rFonts w:ascii="Times New Roman" w:hAnsi="Times New Roman" w:cs="Times New Roman"/>
                <w:sz w:val="22"/>
                <w:szCs w:val="22"/>
                <w:lang w:val="en-US"/>
              </w:rPr>
            </w:pPr>
            <w:r>
              <w:rPr>
                <w:rFonts w:cs="Times New Roman" w:ascii="Times New Roman" w:hAnsi="Times New Roman"/>
                <w:sz w:val="22"/>
                <w:szCs w:val="22"/>
                <w:lang w:val="en-US"/>
              </w:rPr>
            </w:r>
          </w:p>
        </w:tc>
        <w:tc>
          <w:tcPr>
            <w:tcW w:w="6303" w:type="dxa"/>
            <w:tcBorders>
              <w:start w:val="single" w:sz="8" w:space="0" w:color="000000"/>
              <w:bottom w:val="single" w:sz="8" w:space="0" w:color="000000"/>
              <w:end w:val="single" w:sz="8" w:space="0" w:color="000000"/>
            </w:tcBorders>
            <w:shd w:fill="FFD8CE" w:val="clear"/>
            <w:tcMar>
              <w:top w:w="0" w:type="dxa"/>
              <w:start w:w="0" w:type="dxa"/>
            </w:tcMar>
            <w:vAlign w:val="center"/>
          </w:tcPr>
          <w:p>
            <w:pPr>
              <w:pStyle w:val="TableContents"/>
              <w:tabs>
                <w:tab w:val="clear" w:pos="709"/>
                <w:tab w:val="left" w:pos="454" w:leader="none"/>
              </w:tabs>
              <w:bidi w:val="0"/>
              <w:spacing w:lineRule="auto" w:line="240" w:before="0" w:after="0"/>
              <w:ind w:start="57" w:end="0"/>
              <w:jc w:val="start"/>
              <w:rPr>
                <w:rFonts w:ascii="Times New Roman" w:hAnsi="Times New Roman"/>
                <w:b/>
                <w:bCs/>
                <w:sz w:val="22"/>
                <w:szCs w:val="22"/>
              </w:rPr>
            </w:pPr>
            <w:r>
              <w:rPr>
                <w:rFonts w:ascii="Times New Roman" w:hAnsi="Times New Roman"/>
                <w:b/>
                <w:bCs/>
                <w:sz w:val="22"/>
                <w:szCs w:val="22"/>
              </w:rPr>
              <w:t xml:space="preserve">Integration of federated analytics with metadata contextualisation in a multidisciplinary collaborative framework for the routine reporting of NCD indicators in Europe. </w:t>
            </w:r>
            <w:r>
              <w:rPr>
                <w:rFonts w:ascii="Times New Roman" w:hAnsi="Times New Roman"/>
                <w:b w:val="false"/>
                <w:bCs w:val="false"/>
                <w:sz w:val="22"/>
                <w:szCs w:val="22"/>
              </w:rPr>
              <w:t>F Carinci, P Di Bartolo, I Štotl, S Fava, S Cunningham, L Pennells, Z Baltane, S Reiff, T Poljičanin, J Dimnjakovic</w:t>
            </w:r>
          </w:p>
        </w:tc>
        <w:tc>
          <w:tcPr>
            <w:tcW w:w="900" w:type="dxa"/>
            <w:tcBorders>
              <w:bottom w:val="single" w:sz="8" w:space="0" w:color="000000"/>
              <w:end w:val="single" w:sz="8" w:space="0" w:color="000000"/>
            </w:tcBorders>
            <w:shd w:fill="FFD8CE" w:val="clear"/>
            <w:tcMar>
              <w:top w:w="0" w:type="dxa"/>
              <w:start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 xml:space="preserve">Final </w:t>
            </w:r>
          </w:p>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(v 1.0)</w:t>
            </w:r>
          </w:p>
        </w:tc>
        <w:tc>
          <w:tcPr>
            <w:tcW w:w="971" w:type="dxa"/>
            <w:tcBorders>
              <w:bottom w:val="single" w:sz="8" w:space="0" w:color="000000"/>
              <w:end w:val="single" w:sz="8" w:space="0" w:color="000000"/>
            </w:tcBorders>
            <w:shd w:fill="FFD8CE" w:val="clear"/>
            <w:tcMar>
              <w:top w:w="0" w:type="dxa"/>
              <w:start w:w="0" w:type="dxa"/>
            </w:tcMar>
            <w:vAlign w:val="center"/>
          </w:tcPr>
          <w:p>
            <w:pPr>
              <w:pStyle w:val="TableContents"/>
              <w:bidi w:val="0"/>
              <w:spacing w:lineRule="auto" w:line="240" w:before="0" w:after="0"/>
              <w:ind w:end="0"/>
              <w:jc w:val="center"/>
              <w:rPr>
                <w:rFonts w:ascii="Times New Roman" w:hAnsi="Times New Roman"/>
                <w:sz w:val="22"/>
                <w:szCs w:val="22"/>
              </w:rPr>
            </w:pPr>
            <w:r>
              <w:rPr>
                <w:rFonts w:ascii="Times New Roman" w:hAnsi="Times New Roman"/>
                <w:sz w:val="22"/>
                <w:szCs w:val="22"/>
              </w:rPr>
              <w:t>25/9/2026</w:t>
            </w:r>
          </w:p>
        </w:tc>
      </w:tr>
      <w:tr>
        <w:trPr/>
        <w:tc>
          <w:tcPr>
            <w:tcW w:w="480" w:type="dxa"/>
            <w:tcBorders>
              <w:start w:val="single" w:sz="8" w:space="0" w:color="000000"/>
              <w:bottom w:val="single" w:sz="8" w:space="0" w:color="000000"/>
            </w:tcBorders>
            <w:shd w:fill="DEE6EF" w:val="clear"/>
            <w:tcMar>
              <w:top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9</w:t>
            </w:r>
          </w:p>
        </w:tc>
        <w:tc>
          <w:tcPr>
            <w:tcW w:w="931" w:type="dxa"/>
            <w:tcBorders>
              <w:start w:val="single" w:sz="8" w:space="0" w:color="000000"/>
              <w:bottom w:val="single" w:sz="8" w:space="0" w:color="000000"/>
            </w:tcBorders>
            <w:shd w:fill="DEE6EF" w:val="clear"/>
            <w:tcMar>
              <w:top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color w:val="000000"/>
                <w:sz w:val="22"/>
                <w:szCs w:val="22"/>
                <w:lang w:val="en-US"/>
              </w:rPr>
              <w:t>3</w:t>
            </w:r>
          </w:p>
        </w:tc>
        <w:tc>
          <w:tcPr>
            <w:tcW w:w="6303" w:type="dxa"/>
            <w:tcBorders>
              <w:start w:val="single" w:sz="8" w:space="0" w:color="000000"/>
              <w:bottom w:val="single" w:sz="8" w:space="0" w:color="000000"/>
              <w:end w:val="single" w:sz="8" w:space="0" w:color="000000"/>
            </w:tcBorders>
            <w:shd w:fill="DEE6EF" w:val="clear"/>
            <w:tcMar>
              <w:top w:w="0" w:type="dxa"/>
              <w:start w:w="0" w:type="dxa"/>
            </w:tcMar>
            <w:vAlign w:val="center"/>
          </w:tcPr>
          <w:p>
            <w:pPr>
              <w:pStyle w:val="TableContents"/>
              <w:tabs>
                <w:tab w:val="clear" w:pos="709"/>
                <w:tab w:val="left" w:pos="454" w:leader="none"/>
              </w:tabs>
              <w:bidi w:val="0"/>
              <w:spacing w:lineRule="auto" w:line="240" w:before="0" w:after="0"/>
              <w:ind w:start="57" w:end="0"/>
              <w:jc w:val="start"/>
              <w:rPr>
                <w:sz w:val="22"/>
                <w:szCs w:val="22"/>
              </w:rPr>
            </w:pPr>
            <w:r>
              <w:rPr>
                <w:rFonts w:cs="Times New Roman" w:ascii="Times New Roman" w:hAnsi="Times New Roman"/>
                <w:b/>
                <w:color w:val="000000"/>
                <w:sz w:val="22"/>
                <w:szCs w:val="22"/>
                <w:lang w:val="en-US"/>
              </w:rPr>
              <w:t xml:space="preserve">Patient involvement in chronic disease registries. </w:t>
            </w:r>
            <w:r>
              <w:rPr>
                <w:rFonts w:cs="Times New Roman" w:ascii="Times New Roman" w:hAnsi="Times New Roman"/>
                <w:b w:val="false"/>
                <w:bCs w:val="false"/>
                <w:color w:val="000000"/>
                <w:sz w:val="22"/>
                <w:szCs w:val="22"/>
                <w:lang w:val="en-US"/>
              </w:rPr>
              <w:t>M Massi Benedetti, E Dupont, C Michael, F Carinci, S Cunningham, J Dimnjakovich, T Poljicanin, I Stotl, N Nicholson</w:t>
            </w:r>
            <w:r>
              <w:rPr>
                <w:rFonts w:cs="Times New Roman" w:ascii="Times New Roman" w:hAnsi="Times New Roman"/>
                <w:b/>
                <w:color w:val="000000"/>
                <w:sz w:val="22"/>
                <w:szCs w:val="22"/>
                <w:lang w:val="en-US"/>
              </w:rPr>
              <w:t xml:space="preserve"> </w:t>
            </w:r>
          </w:p>
        </w:tc>
        <w:tc>
          <w:tcPr>
            <w:tcW w:w="900" w:type="dxa"/>
            <w:tcBorders>
              <w:bottom w:val="single" w:sz="8" w:space="0" w:color="000000"/>
              <w:end w:val="single" w:sz="8" w:space="0" w:color="000000"/>
            </w:tcBorders>
            <w:shd w:fill="DEE6EF" w:val="clear"/>
            <w:tcMar>
              <w:top w:w="0" w:type="dxa"/>
              <w:start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 xml:space="preserve">Final </w:t>
            </w:r>
          </w:p>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(v 1.0)</w:t>
            </w:r>
          </w:p>
        </w:tc>
        <w:tc>
          <w:tcPr>
            <w:tcW w:w="971" w:type="dxa"/>
            <w:tcBorders>
              <w:bottom w:val="single" w:sz="8" w:space="0" w:color="000000"/>
              <w:end w:val="single" w:sz="8" w:space="0" w:color="000000"/>
            </w:tcBorders>
            <w:shd w:fill="DEE6EF" w:val="clear"/>
            <w:tcMar>
              <w:top w:w="0" w:type="dxa"/>
              <w:start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22/6/2026</w:t>
            </w:r>
          </w:p>
        </w:tc>
      </w:tr>
      <w:tr>
        <w:trPr/>
        <w:tc>
          <w:tcPr>
            <w:tcW w:w="480" w:type="dxa"/>
            <w:tcBorders>
              <w:start w:val="single" w:sz="8" w:space="0" w:color="000000"/>
              <w:bottom w:val="single" w:sz="8" w:space="0" w:color="000000"/>
            </w:tcBorders>
            <w:shd w:fill="FFFFD7" w:val="clear"/>
            <w:tcMar>
              <w:top w:w="0" w:type="dxa"/>
              <w:start w:w="0" w:type="dxa"/>
              <w:bottom w:w="0" w:type="dxa"/>
              <w:end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10</w:t>
            </w:r>
          </w:p>
        </w:tc>
        <w:tc>
          <w:tcPr>
            <w:tcW w:w="931" w:type="dxa"/>
            <w:vMerge w:val="restart"/>
            <w:tcBorders>
              <w:start w:val="single" w:sz="8" w:space="0" w:color="000000"/>
              <w:bottom w:val="single" w:sz="8" w:space="0" w:color="000000"/>
            </w:tcBorders>
            <w:shd w:fill="FFFFD7" w:val="clear"/>
            <w:tcMar>
              <w:top w:w="0" w:type="dxa"/>
              <w:start w:w="0" w:type="dxa"/>
              <w:bottom w:w="0" w:type="dxa"/>
              <w:end w:w="0" w:type="dxa"/>
            </w:tcMar>
            <w:vAlign w:val="center"/>
          </w:tcPr>
          <w:p>
            <w:pPr>
              <w:pStyle w:val="TableContents"/>
              <w:bidi w:val="0"/>
              <w:snapToGrid w:val="false"/>
              <w:spacing w:lineRule="auto" w:line="240" w:before="0" w:after="0"/>
              <w:ind w:end="0"/>
              <w:jc w:val="center"/>
              <w:rPr>
                <w:rFonts w:ascii="Times New Roman" w:hAnsi="Times New Roman" w:cs="Times New Roman"/>
                <w:color w:val="000000"/>
                <w:sz w:val="22"/>
                <w:szCs w:val="22"/>
                <w:lang w:val="en-US"/>
              </w:rPr>
            </w:pPr>
            <w:r>
              <w:rPr>
                <w:rFonts w:cs="Times New Roman" w:ascii="Times New Roman" w:hAnsi="Times New Roman"/>
                <w:color w:val="000000"/>
                <w:sz w:val="22"/>
                <w:szCs w:val="22"/>
                <w:lang w:val="en-US"/>
              </w:rPr>
              <w:t>4</w:t>
            </w:r>
          </w:p>
        </w:tc>
        <w:tc>
          <w:tcPr>
            <w:tcW w:w="6303" w:type="dxa"/>
            <w:tcBorders>
              <w:start w:val="single" w:sz="8" w:space="0" w:color="000000"/>
              <w:bottom w:val="single" w:sz="8" w:space="0" w:color="000000"/>
              <w:end w:val="single" w:sz="8" w:space="0" w:color="000000"/>
            </w:tcBorders>
            <w:shd w:fill="FFFFD7" w:val="clear"/>
            <w:tcMar>
              <w:top w:w="0" w:type="dxa"/>
              <w:start w:w="0" w:type="dxa"/>
              <w:bottom w:w="0" w:type="dxa"/>
              <w:end w:w="0" w:type="dxa"/>
            </w:tcMar>
            <w:vAlign w:val="center"/>
          </w:tcPr>
          <w:p>
            <w:pPr>
              <w:pStyle w:val="TableContents"/>
              <w:tabs>
                <w:tab w:val="clear" w:pos="709"/>
                <w:tab w:val="left" w:pos="454" w:leader="none"/>
              </w:tabs>
              <w:bidi w:val="0"/>
              <w:spacing w:lineRule="auto" w:line="240" w:before="0" w:after="0"/>
              <w:ind w:start="57" w:end="0"/>
              <w:jc w:val="start"/>
              <w:rPr>
                <w:rFonts w:ascii="Times New Roman" w:hAnsi="Times New Roman" w:cs="Times New Roman"/>
                <w:b/>
                <w:color w:val="000000"/>
                <w:sz w:val="22"/>
                <w:szCs w:val="22"/>
                <w:lang w:val="en-US"/>
              </w:rPr>
            </w:pPr>
            <w:r>
              <w:rPr>
                <w:rFonts w:cs="Times New Roman" w:ascii="Times New Roman" w:hAnsi="Times New Roman"/>
                <w:b/>
                <w:color w:val="000000"/>
                <w:sz w:val="22"/>
                <w:szCs w:val="22"/>
                <w:lang w:val="en-US"/>
              </w:rPr>
              <w:t xml:space="preserve">Privacy, data governance and ethics in the handling of sensitive data: assessment of current practices in the field of diabetes. </w:t>
            </w:r>
            <w:r>
              <w:rPr>
                <w:rFonts w:cs="Times New Roman" w:ascii="Times New Roman" w:hAnsi="Times New Roman"/>
                <w:b w:val="false"/>
                <w:bCs w:val="false"/>
                <w:color w:val="000000"/>
                <w:sz w:val="22"/>
                <w:szCs w:val="22"/>
                <w:u w:val="none"/>
                <w:lang w:val="en-US"/>
              </w:rPr>
              <w:t>CT Di Iorio, E Ronchi, I Pristas, T Buble</w:t>
            </w:r>
          </w:p>
        </w:tc>
        <w:tc>
          <w:tcPr>
            <w:tcW w:w="900" w:type="dxa"/>
            <w:tcBorders>
              <w:bottom w:val="single" w:sz="8" w:space="0" w:color="000000"/>
              <w:end w:val="single" w:sz="8" w:space="0" w:color="000000"/>
            </w:tcBorders>
            <w:shd w:fill="FFFFD7" w:val="clear"/>
            <w:tcMar>
              <w:top w:w="0" w:type="dxa"/>
              <w:start w:w="0" w:type="dxa"/>
              <w:bottom w:w="0" w:type="dxa"/>
              <w:end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sz w:val="22"/>
                <w:szCs w:val="22"/>
                <w:lang w:val="en-US"/>
              </w:rPr>
            </w:pPr>
            <w:r>
              <w:rPr>
                <w:rFonts w:cs="Times New Roman" w:ascii="Times New Roman" w:hAnsi="Times New Roman"/>
                <w:sz w:val="22"/>
                <w:szCs w:val="22"/>
                <w:lang w:val="en-US"/>
              </w:rPr>
              <w:t xml:space="preserve">Final </w:t>
            </w:r>
          </w:p>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sz w:val="22"/>
                <w:szCs w:val="22"/>
                <w:lang w:val="en-US"/>
              </w:rPr>
            </w:pPr>
            <w:r>
              <w:rPr>
                <w:rFonts w:cs="Times New Roman" w:ascii="Times New Roman" w:hAnsi="Times New Roman"/>
                <w:sz w:val="22"/>
                <w:szCs w:val="22"/>
                <w:lang w:val="en-US"/>
              </w:rPr>
              <w:t>(v. 4.0)</w:t>
            </w:r>
          </w:p>
        </w:tc>
        <w:tc>
          <w:tcPr>
            <w:tcW w:w="971" w:type="dxa"/>
            <w:tcBorders>
              <w:bottom w:val="single" w:sz="8" w:space="0" w:color="000000"/>
              <w:end w:val="single" w:sz="8" w:space="0" w:color="000000"/>
            </w:tcBorders>
            <w:shd w:fill="FFFFD7" w:val="clear"/>
            <w:tcMar>
              <w:top w:w="0" w:type="dxa"/>
              <w:start w:w="0" w:type="dxa"/>
              <w:bottom w:w="0" w:type="dxa"/>
              <w:end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15/3/2025</w:t>
            </w:r>
          </w:p>
        </w:tc>
      </w:tr>
      <w:tr>
        <w:trPr/>
        <w:tc>
          <w:tcPr>
            <w:tcW w:w="480" w:type="dxa"/>
            <w:tcBorders>
              <w:start w:val="single" w:sz="8" w:space="0" w:color="000000"/>
              <w:bottom w:val="single" w:sz="8" w:space="0" w:color="000000"/>
            </w:tcBorders>
            <w:shd w:fill="FFFFD7" w:val="clear"/>
            <w:tcMar>
              <w:top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11</w:t>
            </w:r>
          </w:p>
        </w:tc>
        <w:tc>
          <w:tcPr>
            <w:tcW w:w="931" w:type="dxa"/>
            <w:vMerge w:val="continue"/>
            <w:tcBorders>
              <w:start w:val="single" w:sz="8" w:space="0" w:color="000000"/>
              <w:bottom w:val="single" w:sz="8" w:space="0" w:color="000000"/>
            </w:tcBorders>
            <w:shd w:fill="FFFFD7" w:val="clear"/>
            <w:tcMar>
              <w:top w:w="0" w:type="dxa"/>
              <w:start w:w="0" w:type="dxa"/>
              <w:bottom w:w="0" w:type="dxa"/>
              <w:end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r>
          </w:p>
        </w:tc>
        <w:tc>
          <w:tcPr>
            <w:tcW w:w="6303" w:type="dxa"/>
            <w:tcBorders>
              <w:start w:val="single" w:sz="8" w:space="0" w:color="000000"/>
              <w:bottom w:val="single" w:sz="8" w:space="0" w:color="000000"/>
              <w:end w:val="single" w:sz="8" w:space="0" w:color="000000"/>
            </w:tcBorders>
            <w:shd w:fill="FFFFD7" w:val="clear"/>
            <w:tcMar>
              <w:top w:w="0" w:type="dxa"/>
              <w:start w:w="0" w:type="dxa"/>
            </w:tcMar>
            <w:vAlign w:val="center"/>
          </w:tcPr>
          <w:p>
            <w:pPr>
              <w:pStyle w:val="TableContents"/>
              <w:tabs>
                <w:tab w:val="clear" w:pos="709"/>
                <w:tab w:val="left" w:pos="454" w:leader="none"/>
              </w:tabs>
              <w:bidi w:val="0"/>
              <w:spacing w:lineRule="auto" w:line="240" w:before="0" w:after="0"/>
              <w:ind w:start="57" w:end="0"/>
              <w:jc w:val="start"/>
              <w:rPr>
                <w:rFonts w:ascii="Times New Roman" w:hAnsi="Times New Roman" w:cs="Times New Roman"/>
                <w:b/>
                <w:bCs/>
                <w:sz w:val="22"/>
                <w:szCs w:val="22"/>
                <w:u w:val="none"/>
              </w:rPr>
            </w:pPr>
            <w:r>
              <w:rPr>
                <w:rFonts w:cs="Times New Roman" w:ascii="Times New Roman" w:hAnsi="Times New Roman"/>
                <w:b/>
                <w:bCs/>
                <w:sz w:val="22"/>
                <w:szCs w:val="22"/>
                <w:u w:val="none"/>
              </w:rPr>
              <w:t xml:space="preserve">Data Linkage &amp; Interoperability. </w:t>
            </w:r>
            <w:r>
              <w:rPr>
                <w:rFonts w:cs="Times New Roman" w:ascii="Times New Roman" w:hAnsi="Times New Roman"/>
                <w:b w:val="false"/>
                <w:bCs w:val="false"/>
                <w:sz w:val="22"/>
                <w:szCs w:val="22"/>
                <w:u w:val="none"/>
              </w:rPr>
              <w:t>C T Di Iorio, E Ronchi, I Pristas, T Buble</w:t>
            </w:r>
          </w:p>
        </w:tc>
        <w:tc>
          <w:tcPr>
            <w:tcW w:w="900" w:type="dxa"/>
            <w:tcBorders>
              <w:bottom w:val="single" w:sz="8" w:space="0" w:color="000000"/>
              <w:end w:val="single" w:sz="8" w:space="0" w:color="000000"/>
            </w:tcBorders>
            <w:shd w:fill="FFFFD7" w:val="clear"/>
            <w:tcMar>
              <w:top w:w="0" w:type="dxa"/>
              <w:start w:w="0" w:type="dxa"/>
            </w:tcMar>
            <w:vAlign w:val="center"/>
          </w:tcPr>
          <w:p>
            <w:pPr>
              <w:pStyle w:val="TableContents"/>
              <w:widowControl w:val="false"/>
              <w:suppressLineNumbers/>
              <w:suppressAutoHyphens w:val="true"/>
              <w:bidi w:val="0"/>
              <w:spacing w:lineRule="auto" w:line="240" w:before="0" w:after="0"/>
              <w:ind w:hanging="0" w:start="57" w:end="57"/>
              <w:jc w:val="center"/>
              <w:rPr>
                <w:sz w:val="22"/>
                <w:szCs w:val="22"/>
              </w:rPr>
            </w:pPr>
            <w:r>
              <w:rPr>
                <w:rFonts w:cs="Times New Roman" w:ascii="Times New Roman" w:hAnsi="Times New Roman"/>
                <w:sz w:val="22"/>
                <w:szCs w:val="22"/>
                <w:lang w:val="en-US"/>
              </w:rPr>
              <w:t>Final</w:t>
            </w:r>
          </w:p>
        </w:tc>
        <w:tc>
          <w:tcPr>
            <w:tcW w:w="971" w:type="dxa"/>
            <w:tcBorders>
              <w:bottom w:val="single" w:sz="8" w:space="0" w:color="000000"/>
              <w:end w:val="single" w:sz="8" w:space="0" w:color="000000"/>
            </w:tcBorders>
            <w:shd w:fill="FFFFD7" w:val="clear"/>
            <w:tcMar>
              <w:top w:w="0" w:type="dxa"/>
              <w:start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20/7/2024</w:t>
            </w:r>
          </w:p>
        </w:tc>
      </w:tr>
      <w:tr>
        <w:trPr/>
        <w:tc>
          <w:tcPr>
            <w:tcW w:w="480" w:type="dxa"/>
            <w:tcBorders>
              <w:start w:val="single" w:sz="8" w:space="0" w:color="000000"/>
              <w:bottom w:val="single" w:sz="8" w:space="0" w:color="000000"/>
            </w:tcBorders>
            <w:shd w:fill="FFFFD7" w:val="clear"/>
            <w:tcMar>
              <w:top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12</w:t>
            </w:r>
          </w:p>
        </w:tc>
        <w:tc>
          <w:tcPr>
            <w:tcW w:w="931" w:type="dxa"/>
            <w:vMerge w:val="continue"/>
            <w:tcBorders>
              <w:start w:val="single" w:sz="8" w:space="0" w:color="000000"/>
              <w:bottom w:val="single" w:sz="8" w:space="0" w:color="000000"/>
            </w:tcBorders>
            <w:shd w:fill="FFFFD7" w:val="clear"/>
            <w:tcMar>
              <w:top w:w="0" w:type="dxa"/>
              <w:start w:w="0" w:type="dxa"/>
              <w:bottom w:w="0" w:type="dxa"/>
              <w:end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r>
          </w:p>
        </w:tc>
        <w:tc>
          <w:tcPr>
            <w:tcW w:w="6303" w:type="dxa"/>
            <w:tcBorders>
              <w:start w:val="single" w:sz="8" w:space="0" w:color="000000"/>
              <w:bottom w:val="single" w:sz="8" w:space="0" w:color="000000"/>
              <w:end w:val="single" w:sz="8" w:space="0" w:color="000000"/>
            </w:tcBorders>
            <w:shd w:fill="FFFFD7" w:val="clear"/>
            <w:tcMar>
              <w:top w:w="0" w:type="dxa"/>
              <w:start w:w="0" w:type="dxa"/>
            </w:tcMar>
            <w:vAlign w:val="center"/>
          </w:tcPr>
          <w:p>
            <w:pPr>
              <w:pStyle w:val="TableContents"/>
              <w:widowControl w:val="false"/>
              <w:suppressLineNumbers/>
              <w:bidi w:val="0"/>
              <w:spacing w:lineRule="auto" w:line="240" w:before="0" w:after="0"/>
              <w:ind w:hanging="0" w:start="57" w:end="0"/>
              <w:jc w:val="start"/>
              <w:rPr>
                <w:rFonts w:ascii="Times New Roman" w:hAnsi="Times New Roman" w:cs="Times New Roman"/>
                <w:sz w:val="22"/>
                <w:szCs w:val="22"/>
              </w:rPr>
            </w:pPr>
            <w:r>
              <w:rPr>
                <w:rFonts w:cs="Times New Roman" w:ascii="Times New Roman" w:hAnsi="Times New Roman"/>
                <w:b/>
                <w:bCs/>
                <w:sz w:val="22"/>
                <w:szCs w:val="22"/>
                <w:lang w:val="en-US"/>
              </w:rPr>
              <w:t xml:space="preserve">Monitoring privacy, data protection, data governance, interoperability and ethics in registries and health information systems to balance compliance with the accurate reporting of NCD indicators </w:t>
            </w:r>
            <w:r>
              <w:rPr>
                <w:rFonts w:cs="Times New Roman" w:ascii="Times New Roman" w:hAnsi="Times New Roman"/>
                <w:sz w:val="22"/>
                <w:szCs w:val="22"/>
                <w:u w:val="none"/>
              </w:rPr>
              <w:t>CT Di Iorio, E Ronchi, F Carinci, I Štotl, I Pristas, T Buble</w:t>
            </w:r>
          </w:p>
        </w:tc>
        <w:tc>
          <w:tcPr>
            <w:tcW w:w="900" w:type="dxa"/>
            <w:tcBorders>
              <w:bottom w:val="single" w:sz="8" w:space="0" w:color="000000"/>
              <w:end w:val="single" w:sz="8" w:space="0" w:color="000000"/>
            </w:tcBorders>
            <w:shd w:fill="FFFFD7" w:val="clear"/>
            <w:tcMar>
              <w:top w:w="0" w:type="dxa"/>
              <w:start w:w="0" w:type="dxa"/>
            </w:tcMar>
            <w:vAlign w:val="center"/>
          </w:tcPr>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sz w:val="22"/>
                <w:szCs w:val="22"/>
                <w:lang w:val="en-US"/>
              </w:rPr>
            </w:pPr>
            <w:r>
              <w:rPr>
                <w:rFonts w:cs="Times New Roman" w:ascii="Times New Roman" w:hAnsi="Times New Roman"/>
                <w:sz w:val="22"/>
                <w:szCs w:val="22"/>
                <w:lang w:val="en-US"/>
              </w:rPr>
              <w:t xml:space="preserve">Final </w:t>
            </w:r>
          </w:p>
          <w:p>
            <w:pPr>
              <w:pStyle w:val="TableContents"/>
              <w:widowControl w:val="false"/>
              <w:suppressLineNumbers/>
              <w:suppressAutoHyphens w:val="true"/>
              <w:bidi w:val="0"/>
              <w:spacing w:lineRule="auto" w:line="240" w:before="0" w:after="0"/>
              <w:ind w:hanging="0" w:start="57" w:end="57"/>
              <w:jc w:val="center"/>
              <w:rPr>
                <w:rFonts w:ascii="Times New Roman" w:hAnsi="Times New Roman" w:cs="Times New Roman"/>
                <w:sz w:val="22"/>
                <w:szCs w:val="22"/>
                <w:lang w:val="en-US"/>
              </w:rPr>
            </w:pPr>
            <w:r>
              <w:rPr>
                <w:rFonts w:cs="Times New Roman" w:ascii="Times New Roman" w:hAnsi="Times New Roman"/>
                <w:sz w:val="22"/>
                <w:szCs w:val="22"/>
                <w:lang w:val="en-US"/>
              </w:rPr>
              <w:t>(v. 5.0)</w:t>
            </w:r>
          </w:p>
        </w:tc>
        <w:tc>
          <w:tcPr>
            <w:tcW w:w="971" w:type="dxa"/>
            <w:tcBorders>
              <w:bottom w:val="single" w:sz="8" w:space="0" w:color="000000"/>
              <w:end w:val="single" w:sz="8" w:space="0" w:color="000000"/>
            </w:tcBorders>
            <w:shd w:fill="FFFFD7" w:val="clear"/>
            <w:tcMar>
              <w:top w:w="0" w:type="dxa"/>
              <w:start w:w="0" w:type="dxa"/>
            </w:tcMar>
            <w:vAlign w:val="center"/>
          </w:tcPr>
          <w:p>
            <w:pPr>
              <w:pStyle w:val="TableContents"/>
              <w:bidi w:val="0"/>
              <w:spacing w:lineRule="auto" w:line="240" w:before="0" w:after="0"/>
              <w:ind w:end="0"/>
              <w:jc w:val="center"/>
              <w:rPr>
                <w:sz w:val="22"/>
                <w:szCs w:val="22"/>
              </w:rPr>
            </w:pPr>
            <w:r>
              <w:rPr>
                <w:rFonts w:cs="Times New Roman" w:ascii="Times New Roman" w:hAnsi="Times New Roman"/>
                <w:b w:val="false"/>
                <w:bCs w:val="false"/>
                <w:color w:val="000000"/>
                <w:sz w:val="22"/>
                <w:szCs w:val="22"/>
                <w:lang w:val="en-US"/>
              </w:rPr>
              <w:t>15/7/2026</w:t>
            </w:r>
          </w:p>
        </w:tc>
      </w:tr>
      <w:tr>
        <w:trPr>
          <w:trHeight w:val="514" w:hRule="atLeast"/>
        </w:trPr>
        <w:tc>
          <w:tcPr>
            <w:tcW w:w="480" w:type="dxa"/>
            <w:tcBorders>
              <w:start w:val="single" w:sz="8" w:space="0" w:color="000000"/>
              <w:bottom w:val="single" w:sz="8" w:space="0" w:color="000000"/>
            </w:tcBorders>
            <w:shd w:fill="FFD8CE" w:val="clear"/>
            <w:tcMar>
              <w:top w:w="0" w:type="dxa"/>
              <w:start w:w="0" w:type="dxa"/>
              <w:bottom w:w="0" w:type="dxa"/>
              <w:end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13</w:t>
            </w:r>
          </w:p>
        </w:tc>
        <w:tc>
          <w:tcPr>
            <w:tcW w:w="931" w:type="dxa"/>
            <w:tcBorders>
              <w:start w:val="single" w:sz="8" w:space="0" w:color="000000"/>
              <w:bottom w:val="single" w:sz="8" w:space="0" w:color="000000"/>
            </w:tcBorders>
            <w:shd w:fill="FFD8CE" w:val="clear"/>
            <w:tcMar>
              <w:top w:w="0" w:type="dxa"/>
              <w:start w:w="0" w:type="dxa"/>
              <w:bottom w:w="0" w:type="dxa"/>
              <w:end w:w="0" w:type="dxa"/>
            </w:tcMar>
            <w:vAlign w:val="center"/>
          </w:tcPr>
          <w:p>
            <w:pPr>
              <w:pStyle w:val="TableContents"/>
              <w:bidi w:val="0"/>
              <w:spacing w:lineRule="auto" w:line="240" w:before="0" w:after="0"/>
              <w:ind w:end="0"/>
              <w:jc w:val="center"/>
              <w:rPr>
                <w:rFonts w:ascii="Times New Roman" w:hAnsi="Times New Roman" w:cs="Times New Roman"/>
                <w:sz w:val="20"/>
                <w:szCs w:val="20"/>
                <w:lang w:val="en-US"/>
              </w:rPr>
            </w:pPr>
            <w:r>
              <w:rPr>
                <w:rFonts w:cs="Times New Roman" w:ascii="Times New Roman" w:hAnsi="Times New Roman"/>
                <w:sz w:val="20"/>
                <w:szCs w:val="20"/>
                <w:lang w:val="en-US"/>
              </w:rPr>
              <w:t>5</w:t>
            </w:r>
          </w:p>
        </w:tc>
        <w:tc>
          <w:tcPr>
            <w:tcW w:w="6303" w:type="dxa"/>
            <w:tcBorders>
              <w:start w:val="single" w:sz="8" w:space="0" w:color="000000"/>
              <w:bottom w:val="single" w:sz="8" w:space="0" w:color="000000"/>
              <w:end w:val="single" w:sz="8" w:space="0" w:color="000000"/>
            </w:tcBorders>
            <w:shd w:fill="FFD8CE" w:val="clear"/>
            <w:tcMar>
              <w:top w:w="0" w:type="dxa"/>
              <w:start w:w="0" w:type="dxa"/>
              <w:bottom w:w="0" w:type="dxa"/>
              <w:end w:w="0" w:type="dxa"/>
            </w:tcMar>
            <w:vAlign w:val="center"/>
          </w:tcPr>
          <w:p>
            <w:pPr>
              <w:pStyle w:val="TableContents"/>
              <w:tabs>
                <w:tab w:val="clear" w:pos="709"/>
                <w:tab w:val="left" w:pos="454" w:leader="none"/>
              </w:tabs>
              <w:bidi w:val="0"/>
              <w:snapToGrid w:val="false"/>
              <w:spacing w:lineRule="auto" w:line="240" w:before="0" w:after="0"/>
              <w:ind w:start="57" w:end="0"/>
              <w:jc w:val="start"/>
              <w:rPr>
                <w:rFonts w:ascii="Times New Roman" w:hAnsi="Times New Roman" w:cs="Times New Roman"/>
                <w:sz w:val="20"/>
                <w:szCs w:val="20"/>
              </w:rPr>
            </w:pPr>
            <w:r>
              <w:rPr>
                <w:rFonts w:cs="Times New Roman" w:ascii="Times New Roman" w:hAnsi="Times New Roman"/>
                <w:b/>
                <w:bCs/>
                <w:sz w:val="20"/>
                <w:szCs w:val="20"/>
              </w:rPr>
              <w:t>CHIEF Final report</w:t>
            </w:r>
          </w:p>
        </w:tc>
        <w:tc>
          <w:tcPr>
            <w:tcW w:w="900" w:type="dxa"/>
            <w:tcBorders>
              <w:bottom w:val="single" w:sz="8" w:space="0" w:color="000000"/>
              <w:end w:val="single" w:sz="8" w:space="0" w:color="000000"/>
            </w:tcBorders>
            <w:shd w:fill="FFD8CE" w:val="clear"/>
            <w:tcMar>
              <w:top w:w="0" w:type="dxa"/>
              <w:start w:w="0" w:type="dxa"/>
              <w:bottom w:w="0" w:type="dxa"/>
              <w:end w:w="0" w:type="dxa"/>
            </w:tcMar>
            <w:vAlign w:val="center"/>
          </w:tcPr>
          <w:p>
            <w:pPr>
              <w:pStyle w:val="TableContents"/>
              <w:widowControl w:val="false"/>
              <w:suppressLineNumbers/>
              <w:tabs>
                <w:tab w:val="clear" w:pos="709"/>
                <w:tab w:val="left" w:pos="454" w:leader="none"/>
              </w:tabs>
              <w:suppressAutoHyphens w:val="true"/>
              <w:bidi w:val="0"/>
              <w:snapToGrid w:val="false"/>
              <w:spacing w:lineRule="auto" w:line="240" w:before="0" w:after="0"/>
              <w:ind w:hanging="0" w:start="57" w:end="57"/>
              <w:jc w:val="center"/>
              <w:rPr>
                <w:rFonts w:ascii="Times New Roman" w:hAnsi="Times New Roman" w:cs="Times New Roman"/>
                <w:sz w:val="20"/>
                <w:szCs w:val="20"/>
              </w:rPr>
            </w:pPr>
            <w:r>
              <w:rPr>
                <w:rFonts w:cs="Times New Roman" w:ascii="Times New Roman" w:hAnsi="Times New Roman"/>
                <w:sz w:val="20"/>
                <w:szCs w:val="20"/>
              </w:rPr>
              <w:t xml:space="preserve">Final </w:t>
            </w:r>
          </w:p>
          <w:p>
            <w:pPr>
              <w:pStyle w:val="TableContents"/>
              <w:widowControl w:val="false"/>
              <w:suppressLineNumbers/>
              <w:tabs>
                <w:tab w:val="clear" w:pos="709"/>
                <w:tab w:val="left" w:pos="454" w:leader="none"/>
              </w:tabs>
              <w:suppressAutoHyphens w:val="true"/>
              <w:bidi w:val="0"/>
              <w:snapToGrid w:val="false"/>
              <w:spacing w:lineRule="auto" w:line="240" w:before="0" w:after="0"/>
              <w:ind w:hanging="0" w:start="57" w:end="57"/>
              <w:jc w:val="center"/>
              <w:rPr>
                <w:rFonts w:ascii="Times New Roman" w:hAnsi="Times New Roman" w:cs="Times New Roman"/>
                <w:sz w:val="20"/>
                <w:szCs w:val="20"/>
              </w:rPr>
            </w:pPr>
            <w:r>
              <w:rPr>
                <w:rFonts w:cs="Times New Roman" w:ascii="Times New Roman" w:hAnsi="Times New Roman"/>
                <w:sz w:val="20"/>
                <w:szCs w:val="20"/>
              </w:rPr>
              <w:t>(v. 2.3)</w:t>
            </w:r>
          </w:p>
        </w:tc>
        <w:tc>
          <w:tcPr>
            <w:tcW w:w="971" w:type="dxa"/>
            <w:tcBorders>
              <w:bottom w:val="single" w:sz="8" w:space="0" w:color="000000"/>
              <w:end w:val="single" w:sz="8" w:space="0" w:color="000000"/>
            </w:tcBorders>
            <w:shd w:fill="FFD8CE" w:val="clear"/>
            <w:tcMar>
              <w:top w:w="0" w:type="dxa"/>
              <w:start w:w="0" w:type="dxa"/>
              <w:bottom w:w="0" w:type="dxa"/>
              <w:end w:w="0" w:type="dxa"/>
            </w:tcMar>
            <w:vAlign w:val="center"/>
          </w:tcPr>
          <w:p>
            <w:pPr>
              <w:pStyle w:val="TableContents"/>
              <w:tabs>
                <w:tab w:val="clear" w:pos="709"/>
                <w:tab w:val="left" w:pos="454" w:leader="none"/>
              </w:tabs>
              <w:bidi w:val="0"/>
              <w:snapToGrid w:val="false"/>
              <w:spacing w:lineRule="auto" w:line="240" w:before="0" w:after="0"/>
              <w:ind w:start="57" w:end="0"/>
              <w:jc w:val="center"/>
              <w:rPr>
                <w:rFonts w:ascii="Times New Roman" w:hAnsi="Times New Roman" w:cs="Times New Roman"/>
                <w:sz w:val="20"/>
                <w:szCs w:val="20"/>
              </w:rPr>
            </w:pPr>
            <w:r>
              <w:rPr>
                <w:rFonts w:cs="Times New Roman" w:ascii="Times New Roman" w:hAnsi="Times New Roman"/>
                <w:sz w:val="20"/>
                <w:szCs w:val="20"/>
              </w:rPr>
              <w:t>7/10/2026</w:t>
            </w:r>
          </w:p>
        </w:tc>
      </w:tr>
    </w:tbl>
    <w:p>
      <w:pPr>
        <w:pStyle w:val="BodyText"/>
        <w:bidi w:val="0"/>
        <w:spacing w:lineRule="auto" w:line="276" w:before="0" w:after="140"/>
        <w:ind w:hanging="0" w:start="0" w:end="0"/>
        <w:jc w:val="center"/>
        <w:rPr>
          <w:rFonts w:ascii="Times New Roman" w:hAnsi="Times New Roman"/>
          <w:b/>
          <w:bCs/>
          <w:sz w:val="22"/>
          <w:szCs w:val="22"/>
        </w:rPr>
      </w:pPr>
      <w:r>
        <w:rPr>
          <w:rFonts w:ascii="Times New Roman" w:hAnsi="Times New Roman"/>
          <w:b/>
          <w:bCs/>
          <w:sz w:val="22"/>
          <w:szCs w:val="22"/>
        </w:rPr>
      </w:r>
      <w:r>
        <w:br w:type="page"/>
      </w:r>
    </w:p>
    <w:p>
      <w:pPr>
        <w:pStyle w:val="BodyText"/>
        <w:bidi w:val="0"/>
        <w:spacing w:lineRule="auto" w:line="276" w:before="0" w:after="140"/>
        <w:ind w:hanging="0" w:start="0" w:end="0"/>
        <w:jc w:val="center"/>
        <w:rPr>
          <w:rFonts w:ascii="Times New Roman" w:hAnsi="Times New Roman"/>
          <w:b/>
          <w:bCs/>
          <w:sz w:val="22"/>
          <w:szCs w:val="22"/>
        </w:rPr>
      </w:pPr>
      <w:r>
        <w:rPr>
          <w:rFonts w:ascii="Times New Roman" w:hAnsi="Times New Roman"/>
          <w:b/>
          <w:bCs/>
          <w:sz w:val="22"/>
          <w:szCs w:val="22"/>
        </w:rPr>
        <w:t>PAPERS</w:t>
      </w:r>
    </w:p>
    <w:p>
      <w:pPr>
        <w:pStyle w:val="Standard"/>
        <w:spacing w:before="0" w:after="0"/>
        <w:ind w:hanging="0" w:end="562"/>
        <w:rPr>
          <w:rFonts w:ascii="Times New Roman" w:hAnsi="Times New Roman"/>
          <w:sz w:val="22"/>
          <w:szCs w:val="22"/>
        </w:rPr>
      </w:pPr>
      <w:r>
        <w:rPr>
          <w:rFonts w:cs="Calibri" w:ascii="Times New Roman" w:hAnsi="Times New Roman"/>
          <w:i/>
          <w:iCs/>
          <w:sz w:val="22"/>
          <w:szCs w:val="22"/>
        </w:rPr>
        <w:t>Submitted</w:t>
      </w:r>
    </w:p>
    <w:p>
      <w:pPr>
        <w:pStyle w:val="Standard"/>
        <w:numPr>
          <w:ilvl w:val="0"/>
          <w:numId w:val="2"/>
        </w:numPr>
        <w:tabs>
          <w:tab w:val="clear" w:pos="709"/>
          <w:tab w:val="left" w:pos="1252" w:leader="none"/>
        </w:tabs>
        <w:spacing w:before="113" w:after="113"/>
        <w:ind w:hanging="340" w:start="624"/>
        <w:rPr>
          <w:rFonts w:ascii="Times New Roman" w:hAnsi="Times New Roman"/>
        </w:rPr>
      </w:pPr>
      <w:r>
        <w:rPr>
          <w:rFonts w:ascii="Times New Roman" w:hAnsi="Times New Roman"/>
          <w:b/>
          <w:bCs/>
          <w:sz w:val="22"/>
          <w:szCs w:val="22"/>
        </w:rPr>
        <w:t xml:space="preserve">Di Iorio CT, Carinci F, Štotl I, Pristas I, Buble T, Nicholson N, Ronchi E. </w:t>
      </w:r>
      <w:r>
        <w:rPr>
          <w:rFonts w:ascii="Times New Roman" w:hAnsi="Times New Roman"/>
          <w:b w:val="false"/>
          <w:bCs w:val="false"/>
          <w:sz w:val="22"/>
          <w:szCs w:val="22"/>
        </w:rPr>
        <w:t>How ready are data holders for the European Health Data Space? Results of an international survey using a refined version of Data Protection, Interoperability and Data Governance Assessment (DIGA), Submitted, 2026.</w:t>
      </w:r>
    </w:p>
    <w:p>
      <w:pPr>
        <w:pStyle w:val="Standard"/>
        <w:numPr>
          <w:ilvl w:val="0"/>
          <w:numId w:val="2"/>
        </w:numPr>
        <w:tabs>
          <w:tab w:val="clear" w:pos="709"/>
          <w:tab w:val="left" w:pos="1252" w:leader="none"/>
        </w:tabs>
        <w:spacing w:before="113" w:after="113"/>
        <w:ind w:hanging="340" w:start="624"/>
        <w:rPr>
          <w:rFonts w:ascii="Times New Roman" w:hAnsi="Times New Roman"/>
        </w:rPr>
      </w:pPr>
      <w:r>
        <w:rPr>
          <w:rFonts w:ascii="Times New Roman" w:hAnsi="Times New Roman"/>
          <w:b/>
          <w:bCs/>
          <w:sz w:val="22"/>
          <w:szCs w:val="22"/>
        </w:rPr>
        <w:t>Massi-Benedetti M, Michael CM, Carinci F, Cunningham S, Dimnjakovic J, Poljicanin T, Štotl I, Nicholson N and Dupont E</w:t>
      </w:r>
      <w:r>
        <w:rPr>
          <w:rFonts w:ascii="Times New Roman" w:hAnsi="Times New Roman"/>
          <w:b w:val="false"/>
          <w:bCs w:val="false"/>
          <w:sz w:val="22"/>
          <w:szCs w:val="22"/>
        </w:rPr>
        <w:t>, Patient involvement in chronic disease registries: a narrative review and roadmap for the implementation of participative European data platforms, Submitted, 2026.</w:t>
      </w:r>
    </w:p>
    <w:p>
      <w:pPr>
        <w:pStyle w:val="Standard"/>
        <w:spacing w:before="0" w:after="0"/>
        <w:ind w:hanging="0" w:end="562"/>
        <w:rPr>
          <w:rFonts w:ascii="Times New Roman" w:hAnsi="Times New Roman"/>
        </w:rPr>
      </w:pPr>
      <w:r>
        <w:rPr>
          <w:rFonts w:cs="Calibri" w:ascii="Times New Roman" w:hAnsi="Times New Roman"/>
          <w:i/>
          <w:iCs/>
          <w:sz w:val="22"/>
          <w:szCs w:val="22"/>
        </w:rPr>
        <w:t>Published</w:t>
      </w:r>
    </w:p>
    <w:p>
      <w:pPr>
        <w:pStyle w:val="Standard"/>
        <w:numPr>
          <w:ilvl w:val="0"/>
          <w:numId w:val="1"/>
        </w:numPr>
        <w:tabs>
          <w:tab w:val="clear" w:pos="709"/>
          <w:tab w:val="left" w:pos="1252" w:leader="none"/>
        </w:tabs>
        <w:spacing w:before="113" w:after="113"/>
        <w:ind w:hanging="350" w:start="644"/>
        <w:jc w:val="start"/>
        <w:rPr/>
      </w:pPr>
      <w:r>
        <w:rPr>
          <w:rFonts w:cs="Calibri" w:ascii="Times New Roman" w:hAnsi="Times New Roman"/>
          <w:b/>
          <w:bCs/>
          <w:i w:val="false"/>
          <w:iCs w:val="false"/>
          <w:sz w:val="22"/>
          <w:szCs w:val="22"/>
        </w:rPr>
        <w:t xml:space="preserve">Carinci F, Fava S, Štotl I, Nicholson N. </w:t>
      </w:r>
      <w:r>
        <w:rPr>
          <w:rFonts w:cs="Calibri" w:ascii="Times New Roman" w:hAnsi="Times New Roman"/>
          <w:b w:val="false"/>
          <w:bCs w:val="false"/>
          <w:i w:val="false"/>
          <w:iCs w:val="false"/>
          <w:sz w:val="22"/>
          <w:szCs w:val="22"/>
        </w:rPr>
        <w:t xml:space="preserve">Federated analytics for non-communicable disease surveillance in the European health data space: a scoping review and conceptual framework. Front Public Health. 2026 Aug 21;14:1911992. Available at: </w:t>
      </w:r>
      <w:hyperlink r:id="rId7">
        <w:r>
          <w:rPr>
            <w:rStyle w:val="Hyperlink"/>
            <w:rFonts w:cs="Calibri" w:ascii="Times New Roman" w:hAnsi="Times New Roman"/>
            <w:b w:val="false"/>
            <w:bCs w:val="false"/>
            <w:i w:val="false"/>
            <w:iCs w:val="false"/>
            <w:sz w:val="22"/>
            <w:szCs w:val="22"/>
          </w:rPr>
          <w:t>https://pmc.ncbi.nlm.nih.gov/articles/PMC13543158/</w:t>
        </w:r>
      </w:hyperlink>
      <w:r>
        <w:rPr>
          <w:rFonts w:cs="Calibri" w:ascii="Times New Roman" w:hAnsi="Times New Roman"/>
          <w:b w:val="false"/>
          <w:bCs w:val="false"/>
          <w:i w:val="false"/>
          <w:iCs w:val="false"/>
          <w:sz w:val="22"/>
          <w:szCs w:val="22"/>
        </w:rPr>
        <w:t>.</w:t>
      </w:r>
    </w:p>
    <w:p>
      <w:pPr>
        <w:pStyle w:val="Standard"/>
        <w:numPr>
          <w:ilvl w:val="0"/>
          <w:numId w:val="1"/>
        </w:numPr>
        <w:tabs>
          <w:tab w:val="clear" w:pos="709"/>
          <w:tab w:val="left" w:pos="1252" w:leader="none"/>
        </w:tabs>
        <w:spacing w:before="113" w:after="113"/>
        <w:ind w:hanging="350" w:start="644"/>
        <w:jc w:val="start"/>
        <w:rPr/>
      </w:pPr>
      <w:r>
        <w:rPr>
          <w:rFonts w:ascii="Times New Roman" w:hAnsi="Times New Roman"/>
          <w:b/>
          <w:bCs/>
          <w:sz w:val="22"/>
          <w:szCs w:val="22"/>
        </w:rPr>
        <w:t xml:space="preserve">Štotl I, Carinci F, Fava S, Lavens A, Lepiksone J, Massi-Benedetti M, Poljičanin T, Cunningham S, Sándor J , Nicholson N, </w:t>
      </w:r>
      <w:r>
        <w:rPr>
          <w:rFonts w:ascii="Times New Roman" w:hAnsi="Times New Roman"/>
          <w:b w:val="false"/>
          <w:bCs w:val="false"/>
          <w:sz w:val="22"/>
          <w:szCs w:val="22"/>
        </w:rPr>
        <w:t>FAIR Foundations of a Novel Indicator Vault for Non-communicable Diseases in the European Union: Feasibility Study for Effective Contextualization of Indicators, Front. Digit. Health, 16 December 2025.</w:t>
      </w:r>
      <w:r>
        <w:rPr>
          <w:rFonts w:ascii="Times New Roman" w:hAnsi="Times New Roman"/>
          <w:b/>
          <w:bCs/>
          <w:sz w:val="22"/>
          <w:szCs w:val="22"/>
        </w:rPr>
        <w:t xml:space="preserve"> </w:t>
      </w:r>
      <w:r>
        <w:rPr>
          <w:rFonts w:ascii="Times New Roman" w:hAnsi="Times New Roman"/>
          <w:b w:val="false"/>
          <w:bCs w:val="false"/>
          <w:sz w:val="22"/>
          <w:szCs w:val="22"/>
        </w:rPr>
        <w:t>Available at:</w:t>
      </w:r>
      <w:r>
        <w:rPr>
          <w:rFonts w:ascii="Times New Roman" w:hAnsi="Times New Roman"/>
          <w:b/>
          <w:bCs/>
          <w:sz w:val="22"/>
          <w:szCs w:val="22"/>
        </w:rPr>
        <w:t xml:space="preserve"> </w:t>
      </w:r>
      <w:hyperlink r:id="rId8">
        <w:r>
          <w:rPr>
            <w:rStyle w:val="Hyperlink"/>
            <w:rFonts w:ascii="Times New Roman" w:hAnsi="Times New Roman"/>
            <w:b w:val="false"/>
            <w:bCs w:val="false"/>
            <w:sz w:val="22"/>
            <w:szCs w:val="22"/>
          </w:rPr>
          <w:t>https://www.frontiersin.org/journals/digital-health/articles/10.3389/fdgth.2025.1685733/full</w:t>
        </w:r>
      </w:hyperlink>
      <w:r>
        <w:rPr>
          <w:rFonts w:ascii="Times New Roman" w:hAnsi="Times New Roman"/>
          <w:b w:val="false"/>
          <w:bCs w:val="false"/>
          <w:sz w:val="22"/>
          <w:szCs w:val="22"/>
        </w:rPr>
        <w:t>.</w:t>
      </w:r>
    </w:p>
    <w:p>
      <w:pPr>
        <w:pStyle w:val="Standard"/>
        <w:numPr>
          <w:ilvl w:val="0"/>
          <w:numId w:val="1"/>
        </w:numPr>
        <w:tabs>
          <w:tab w:val="clear" w:pos="709"/>
          <w:tab w:val="left" w:pos="1252" w:leader="none"/>
        </w:tabs>
        <w:spacing w:before="113" w:after="113"/>
        <w:ind w:hanging="350" w:start="644"/>
        <w:jc w:val="start"/>
        <w:rPr/>
      </w:pPr>
      <w:r>
        <w:rPr>
          <w:rFonts w:cs="Calibri" w:ascii="Times New Roman" w:hAnsi="Times New Roman"/>
          <w:b/>
          <w:bCs/>
          <w:sz w:val="22"/>
          <w:szCs w:val="22"/>
        </w:rPr>
        <w:t xml:space="preserve">Carinci F., Nicholson N, </w:t>
      </w:r>
      <w:r>
        <w:rPr>
          <w:rFonts w:cs="Calibri" w:ascii="Times New Roman" w:hAnsi="Times New Roman"/>
          <w:b w:val="false"/>
          <w:bCs w:val="false"/>
          <w:sz w:val="22"/>
          <w:szCs w:val="22"/>
        </w:rPr>
        <w:t xml:space="preserve">Linking registries to deliver standardised NCD indicators in the European Health Data Space: why do we need a Collaborative Health Information European Framework, </w:t>
      </w:r>
      <w:r>
        <w:rPr>
          <w:rFonts w:cs="Calibri" w:ascii="Times New Roman" w:hAnsi="Times New Roman"/>
          <w:b w:val="false"/>
          <w:bCs w:val="false"/>
          <w:i w:val="false"/>
          <w:iCs w:val="false"/>
          <w:sz w:val="22"/>
          <w:szCs w:val="22"/>
        </w:rPr>
        <w:t xml:space="preserve">Front. Public Health, 03 November 2025. Available at: </w:t>
      </w:r>
      <w:hyperlink r:id="rId9">
        <w:r>
          <w:rPr>
            <w:rStyle w:val="Hyperlink"/>
            <w:rFonts w:cs="Calibri" w:ascii="Times New Roman" w:hAnsi="Times New Roman"/>
            <w:b w:val="false"/>
            <w:bCs w:val="false"/>
            <w:i w:val="false"/>
            <w:iCs w:val="false"/>
            <w:sz w:val="22"/>
            <w:szCs w:val="22"/>
          </w:rPr>
          <w:t>https://www.frontiersin.org/journals/public-health/articles/10.3389/fpubh.2025.1684947/full</w:t>
        </w:r>
      </w:hyperlink>
      <w:r>
        <w:rPr>
          <w:rFonts w:cs="Calibri" w:ascii="Times New Roman" w:hAnsi="Times New Roman"/>
          <w:b w:val="false"/>
          <w:bCs w:val="false"/>
          <w:i w:val="false"/>
          <w:iCs w:val="false"/>
          <w:sz w:val="22"/>
          <w:szCs w:val="22"/>
        </w:rPr>
        <w:t>.</w:t>
      </w:r>
    </w:p>
    <w:p>
      <w:pPr>
        <w:pStyle w:val="Standard"/>
        <w:numPr>
          <w:ilvl w:val="0"/>
          <w:numId w:val="1"/>
        </w:numPr>
        <w:tabs>
          <w:tab w:val="clear" w:pos="709"/>
          <w:tab w:val="left" w:pos="1252" w:leader="none"/>
        </w:tabs>
        <w:spacing w:before="113" w:after="113"/>
        <w:ind w:hanging="350" w:start="644"/>
        <w:jc w:val="start"/>
        <w:rPr/>
      </w:pPr>
      <w:r>
        <w:rPr>
          <w:rFonts w:ascii="Times New Roman" w:hAnsi="Times New Roman"/>
          <w:b/>
          <w:bCs/>
          <w:sz w:val="22"/>
          <w:szCs w:val="22"/>
        </w:rPr>
        <w:t xml:space="preserve">Di Iorio CT, Ronchi E, Pristas I, Buble T, Nicholson N, Carinci F, </w:t>
      </w:r>
      <w:r>
        <w:rPr>
          <w:rFonts w:ascii="Times New Roman" w:hAnsi="Times New Roman"/>
          <w:b w:val="false"/>
          <w:bCs w:val="false"/>
          <w:sz w:val="22"/>
          <w:szCs w:val="22"/>
        </w:rPr>
        <w:t>Data Protection, Interoperability and Governance Assessment (DIGA) Tool: results from a proof-of-concept survey,</w:t>
      </w:r>
      <w:r>
        <w:rPr>
          <w:rFonts w:ascii="Times New Roman" w:hAnsi="Times New Roman"/>
          <w:b/>
          <w:bCs/>
          <w:sz w:val="22"/>
          <w:szCs w:val="22"/>
        </w:rPr>
        <w:t xml:space="preserve"> </w:t>
      </w:r>
      <w:r>
        <w:rPr>
          <w:rFonts w:ascii="Times New Roman" w:hAnsi="Times New Roman"/>
          <w:b w:val="false"/>
          <w:bCs w:val="false"/>
          <w:sz w:val="22"/>
          <w:szCs w:val="22"/>
        </w:rPr>
        <w:t xml:space="preserve">Front. Digit. Health, 27 October 2025, Volume 7, 2025. Available at: </w:t>
      </w:r>
      <w:hyperlink r:id="rId10">
        <w:r>
          <w:rPr>
            <w:rStyle w:val="Hyperlink"/>
            <w:rFonts w:ascii="Times New Roman" w:hAnsi="Times New Roman"/>
            <w:b w:val="false"/>
            <w:bCs w:val="false"/>
            <w:sz w:val="22"/>
            <w:szCs w:val="22"/>
          </w:rPr>
          <w:t>https://www.frontiersin.org/journals/digital-health/articles/10.3389/fdgth.2025.1685774/full</w:t>
        </w:r>
      </w:hyperlink>
    </w:p>
    <w:p>
      <w:pPr>
        <w:pStyle w:val="Standard"/>
        <w:numPr>
          <w:ilvl w:val="0"/>
          <w:numId w:val="1"/>
        </w:numPr>
        <w:tabs>
          <w:tab w:val="clear" w:pos="709"/>
          <w:tab w:val="left" w:pos="1252" w:leader="none"/>
        </w:tabs>
        <w:spacing w:before="113" w:after="113"/>
        <w:ind w:hanging="350" w:start="644"/>
        <w:jc w:val="start"/>
        <w:rPr/>
      </w:pPr>
      <w:r>
        <w:rPr>
          <w:rFonts w:cs="Calibri" w:ascii="Times New Roman" w:hAnsi="Times New Roman"/>
          <w:b/>
          <w:bCs/>
          <w:sz w:val="22"/>
          <w:szCs w:val="22"/>
        </w:rPr>
        <w:t>Carinci F, Poljičanin T, Cunningham S, Fava S, Štotl I, Lepiksone J, Nicholson N, Massi Benedetti M and Klazinga N,</w:t>
      </w:r>
      <w:r>
        <w:rPr>
          <w:rFonts w:cs="Calibri" w:ascii="Times New Roman" w:hAnsi="Times New Roman"/>
          <w:sz w:val="22"/>
          <w:szCs w:val="22"/>
        </w:rPr>
        <w:t xml:space="preserve"> </w:t>
      </w:r>
      <w:r>
        <w:rPr>
          <w:rFonts w:cs="Calibri" w:ascii="Times New Roman" w:hAnsi="Times New Roman"/>
          <w:b w:val="false"/>
          <w:bCs w:val="false"/>
          <w:sz w:val="22"/>
          <w:szCs w:val="22"/>
        </w:rPr>
        <w:t>A taxonomy of indicators for Non-Communicable Diseases: agreement, definition, and contextual description using diabetes as a case study,</w:t>
      </w:r>
      <w:r>
        <w:rPr>
          <w:rFonts w:cs="Calibri" w:ascii="Times New Roman" w:hAnsi="Times New Roman"/>
          <w:b w:val="false"/>
          <w:bCs w:val="false"/>
          <w:i/>
          <w:iCs/>
          <w:sz w:val="22"/>
          <w:szCs w:val="22"/>
        </w:rPr>
        <w:t xml:space="preserve"> </w:t>
      </w:r>
      <w:r>
        <w:rPr>
          <w:rFonts w:cs="Calibri" w:ascii="Times New Roman" w:hAnsi="Times New Roman"/>
          <w:b w:val="false"/>
          <w:bCs w:val="false"/>
          <w:i w:val="false"/>
          <w:iCs w:val="false"/>
          <w:sz w:val="22"/>
          <w:szCs w:val="22"/>
        </w:rPr>
        <w:t xml:space="preserve">Front. Public Health, 13 October 2025, Volume 13, 2025. Available at: </w:t>
      </w:r>
      <w:hyperlink r:id="rId11">
        <w:r>
          <w:rPr>
            <w:rStyle w:val="Hyperlink"/>
            <w:rFonts w:cs="Calibri" w:ascii="Times New Roman" w:hAnsi="Times New Roman"/>
            <w:b w:val="false"/>
            <w:bCs w:val="false"/>
            <w:i w:val="false"/>
            <w:iCs w:val="false"/>
            <w:sz w:val="22"/>
            <w:szCs w:val="22"/>
          </w:rPr>
          <w:t>https://www.frontiersin.org/journals/public-health/articles/10.3389/fpubh.2025.1685731/full</w:t>
        </w:r>
      </w:hyperlink>
      <w:r>
        <w:rPr>
          <w:rFonts w:cs="Calibri" w:ascii="Times New Roman" w:hAnsi="Times New Roman"/>
          <w:b w:val="false"/>
          <w:bCs w:val="false"/>
          <w:i w:val="false"/>
          <w:iCs w:val="false"/>
          <w:sz w:val="22"/>
          <w:szCs w:val="22"/>
        </w:rPr>
        <w:t>.</w:t>
      </w:r>
    </w:p>
    <w:p>
      <w:pPr>
        <w:pStyle w:val="BodyText"/>
        <w:bidi w:val="0"/>
        <w:spacing w:lineRule="auto" w:line="276" w:before="0" w:after="140"/>
        <w:ind w:hanging="0" w:start="0" w:end="0"/>
        <w:jc w:val="center"/>
        <w:rPr>
          <w:rFonts w:ascii="Times New Roman" w:hAnsi="Times New Roman"/>
          <w:b/>
          <w:bCs/>
          <w:sz w:val="22"/>
          <w:szCs w:val="22"/>
        </w:rPr>
      </w:pPr>
      <w:r>
        <w:rPr>
          <w:rFonts w:ascii="Times New Roman" w:hAnsi="Times New Roman"/>
          <w:b/>
          <w:bCs/>
          <w:sz w:val="22"/>
          <w:szCs w:val="22"/>
        </w:rPr>
      </w:r>
    </w:p>
    <w:p>
      <w:pPr>
        <w:pStyle w:val="BodyText"/>
        <w:bidi w:val="0"/>
        <w:spacing w:lineRule="auto" w:line="276" w:before="0" w:after="140"/>
        <w:ind w:hanging="0" w:start="0" w:end="0"/>
        <w:jc w:val="center"/>
        <w:rPr>
          <w:rFonts w:ascii="Times New Roman" w:hAnsi="Times New Roman"/>
          <w:b/>
          <w:bCs/>
          <w:sz w:val="22"/>
          <w:szCs w:val="22"/>
        </w:rPr>
      </w:pPr>
      <w:r>
        <w:rPr>
          <w:b/>
          <w:bCs/>
        </w:rPr>
        <w:t>ASSOCIATED PAPERS</w:t>
      </w:r>
    </w:p>
    <w:p>
      <w:pPr>
        <w:pStyle w:val="Standard"/>
        <w:widowControl/>
        <w:numPr>
          <w:ilvl w:val="0"/>
          <w:numId w:val="3"/>
        </w:numPr>
        <w:tabs>
          <w:tab w:val="clear" w:pos="709"/>
          <w:tab w:val="left" w:pos="1252" w:leader="none"/>
        </w:tabs>
        <w:suppressAutoHyphens w:val="true"/>
        <w:overflowPunct w:val="true"/>
        <w:bidi w:val="0"/>
        <w:spacing w:before="113" w:after="113"/>
        <w:ind w:hanging="340" w:start="624" w:end="0"/>
        <w:jc w:val="start"/>
        <w:textAlignment w:val="baseline"/>
        <w:rPr/>
      </w:pPr>
      <w:r>
        <w:rPr>
          <w:rFonts w:cs="Calibri" w:ascii="Times New Roman" w:hAnsi="Times New Roman"/>
          <w:b/>
          <w:bCs/>
          <w:i w:val="false"/>
          <w:iCs w:val="false"/>
          <w:sz w:val="22"/>
          <w:szCs w:val="22"/>
        </w:rPr>
        <w:t>Nicholson N, Carvalho R, Stotl I,</w:t>
      </w:r>
      <w:r>
        <w:rPr>
          <w:rFonts w:cs="Calibri" w:ascii="Times New Roman" w:hAnsi="Times New Roman"/>
          <w:b w:val="false"/>
          <w:bCs w:val="false"/>
          <w:i w:val="false"/>
          <w:iCs w:val="false"/>
          <w:sz w:val="22"/>
          <w:szCs w:val="22"/>
        </w:rPr>
        <w:t xml:space="preserve"> A FAIR perspective on data quality frameworks, Data, 10, 9, 2025, p. 136, MDPI AG. Available at: </w:t>
      </w:r>
      <w:hyperlink r:id="rId12">
        <w:r>
          <w:rPr>
            <w:rStyle w:val="Hyperlink"/>
            <w:rFonts w:cs="Calibri" w:ascii="Times New Roman" w:hAnsi="Times New Roman"/>
            <w:b w:val="false"/>
            <w:bCs w:val="false"/>
            <w:i w:val="false"/>
            <w:iCs w:val="false"/>
            <w:sz w:val="22"/>
            <w:szCs w:val="22"/>
          </w:rPr>
          <w:t>https://data.europa.eu/doi/10.3390/data10090136</w:t>
        </w:r>
      </w:hyperlink>
      <w:r>
        <w:rPr>
          <w:rFonts w:cs="Calibri" w:ascii="Times New Roman" w:hAnsi="Times New Roman"/>
          <w:b w:val="false"/>
          <w:bCs w:val="false"/>
          <w:i w:val="false"/>
          <w:iCs w:val="false"/>
          <w:sz w:val="22"/>
          <w:szCs w:val="22"/>
        </w:rPr>
        <w:t>.</w:t>
      </w:r>
    </w:p>
    <w:p>
      <w:pPr>
        <w:pStyle w:val="Standard"/>
        <w:widowControl/>
        <w:numPr>
          <w:ilvl w:val="0"/>
          <w:numId w:val="3"/>
        </w:numPr>
        <w:tabs>
          <w:tab w:val="clear" w:pos="709"/>
          <w:tab w:val="left" w:pos="1252" w:leader="none"/>
        </w:tabs>
        <w:suppressAutoHyphens w:val="true"/>
        <w:overflowPunct w:val="true"/>
        <w:bidi w:val="0"/>
        <w:spacing w:before="113" w:after="113"/>
        <w:ind w:hanging="340" w:start="624" w:end="0"/>
        <w:jc w:val="start"/>
        <w:textAlignment w:val="baseline"/>
        <w:rPr>
          <w:rFonts w:ascii="Times New Roman" w:hAnsi="Times New Roman"/>
          <w:sz w:val="22"/>
          <w:szCs w:val="22"/>
        </w:rPr>
      </w:pPr>
      <w:r>
        <w:rPr>
          <w:rFonts w:cs="Calibri" w:ascii="Times New Roman" w:hAnsi="Times New Roman"/>
          <w:b/>
          <w:bCs/>
          <w:i w:val="false"/>
          <w:iCs w:val="false"/>
          <w:sz w:val="22"/>
          <w:szCs w:val="22"/>
        </w:rPr>
        <w:t xml:space="preserve">Nicholson N, Stotl I, </w:t>
      </w:r>
      <w:r>
        <w:rPr>
          <w:rFonts w:cs="Calibri" w:ascii="Times New Roman" w:hAnsi="Times New Roman"/>
          <w:b w:val="false"/>
          <w:bCs w:val="false"/>
          <w:i w:val="false"/>
          <w:iCs w:val="false"/>
          <w:sz w:val="22"/>
          <w:szCs w:val="22"/>
        </w:rPr>
        <w:t xml:space="preserve">A Generic Framework for the Semantic Contextualisation of Indicators, Frontiers in Computer Science, ISSN 2624-9898, 6, 2024. Available at: </w:t>
      </w:r>
      <w:hyperlink r:id="rId13">
        <w:r>
          <w:rPr>
            <w:rStyle w:val="Hyperlink"/>
            <w:rFonts w:cs="Calibri" w:ascii="Times New Roman" w:hAnsi="Times New Roman"/>
            <w:b w:val="false"/>
            <w:bCs w:val="false"/>
            <w:i w:val="false"/>
            <w:iCs w:val="false"/>
            <w:sz w:val="22"/>
            <w:szCs w:val="22"/>
          </w:rPr>
          <w:t>https://www.frontiersin.org/journals/computer-science/articles/10.3389/fcomp.2024.1463989/full</w:t>
        </w:r>
      </w:hyperlink>
      <w:r>
        <w:rPr>
          <w:rFonts w:cs="Calibri" w:ascii="Times New Roman" w:hAnsi="Times New Roman"/>
          <w:b w:val="false"/>
          <w:bCs w:val="false"/>
          <w:i w:val="false"/>
          <w:iCs w:val="false"/>
          <w:sz w:val="22"/>
          <w:szCs w:val="22"/>
        </w:rPr>
        <w:t xml:space="preserve">. </w:t>
      </w:r>
    </w:p>
    <w:p>
      <w:pPr>
        <w:pStyle w:val="Standard"/>
        <w:widowControl/>
        <w:numPr>
          <w:ilvl w:val="0"/>
          <w:numId w:val="3"/>
        </w:numPr>
        <w:tabs>
          <w:tab w:val="clear" w:pos="709"/>
          <w:tab w:val="left" w:pos="1252" w:leader="none"/>
        </w:tabs>
        <w:suppressAutoHyphens w:val="true"/>
        <w:overflowPunct w:val="true"/>
        <w:bidi w:val="0"/>
        <w:spacing w:before="113" w:after="113"/>
        <w:ind w:hanging="340" w:start="624" w:end="0"/>
        <w:jc w:val="start"/>
        <w:textAlignment w:val="baseline"/>
        <w:rPr>
          <w:rFonts w:ascii="Times New Roman" w:hAnsi="Times New Roman"/>
          <w:sz w:val="22"/>
          <w:szCs w:val="22"/>
        </w:rPr>
      </w:pPr>
      <w:r>
        <w:rPr>
          <w:rFonts w:ascii="Times New Roman" w:hAnsi="Times New Roman"/>
          <w:b/>
          <w:bCs/>
          <w:sz w:val="22"/>
          <w:szCs w:val="22"/>
        </w:rPr>
        <w:t>Carinci F, Messina R, Mencarelli M, Michelini MM, Bici A, Berardo A, Cas AD, Iezzi E, Aldigeri R, Di Iorio CT, Gualdi S, Fantini MP, Bonadonna R, Nicholson N, Benedetti MM, Di Bartolo P.</w:t>
      </w:r>
      <w:r>
        <w:rPr>
          <w:rFonts w:ascii="Times New Roman" w:hAnsi="Times New Roman"/>
          <w:sz w:val="22"/>
          <w:szCs w:val="22"/>
        </w:rPr>
        <w:t xml:space="preserve"> Implementing a federated regional diabetes register in a decentralized health system: implications for healthcare organization and the European Health Data Space. Front Public Health. 2026 Jul 16;14:1864673. Available at: </w:t>
      </w:r>
      <w:hyperlink r:id="rId14">
        <w:r>
          <w:rPr>
            <w:rStyle w:val="Hyperlink"/>
            <w:rFonts w:ascii="Times New Roman" w:hAnsi="Times New Roman"/>
            <w:sz w:val="22"/>
            <w:szCs w:val="22"/>
          </w:rPr>
          <w:t>https://www.frontiersin.org/journals/public-health/articles/10.3389/fpubh.2026.1864673/full</w:t>
        </w:r>
      </w:hyperlink>
      <w:r>
        <w:rPr>
          <w:rFonts w:ascii="Times New Roman" w:hAnsi="Times New Roman"/>
          <w:sz w:val="22"/>
          <w:szCs w:val="22"/>
        </w:rPr>
        <w:t xml:space="preserve">. </w:t>
      </w:r>
      <w:r>
        <w:br w:type="page"/>
      </w:r>
    </w:p>
    <w:p>
      <w:pPr>
        <w:pStyle w:val="BodyText"/>
        <w:bidi w:val="0"/>
        <w:spacing w:lineRule="auto" w:line="276" w:before="0" w:after="140"/>
        <w:ind w:hanging="0" w:start="0" w:end="0"/>
        <w:jc w:val="center"/>
        <w:rPr>
          <w:rFonts w:ascii="Times New Roman" w:hAnsi="Times New Roman"/>
          <w:b/>
          <w:bCs/>
          <w:sz w:val="22"/>
          <w:szCs w:val="22"/>
        </w:rPr>
      </w:pPr>
      <w:r>
        <w:rPr>
          <w:rFonts w:ascii="Times New Roman" w:hAnsi="Times New Roman"/>
          <w:b/>
          <w:bCs/>
          <w:sz w:val="22"/>
          <w:szCs w:val="22"/>
        </w:rPr>
        <w:t>FIELD TEST ANALYTICS</w:t>
      </w:r>
    </w:p>
    <w:p>
      <w:pPr>
        <w:pStyle w:val="BodyText"/>
        <w:numPr>
          <w:ilvl w:val="0"/>
          <w:numId w:val="4"/>
        </w:numPr>
        <w:bidi w:val="0"/>
        <w:spacing w:lineRule="auto" w:line="276" w:before="0" w:after="140"/>
        <w:jc w:val="start"/>
        <w:rPr>
          <w:b/>
          <w:bCs/>
        </w:rPr>
      </w:pPr>
      <w:r>
        <w:rPr>
          <w:rFonts w:ascii="Times New Roman" w:hAnsi="Times New Roman"/>
          <w:b/>
          <w:bCs/>
          <w:sz w:val="22"/>
          <w:szCs w:val="22"/>
        </w:rPr>
        <w:t xml:space="preserve">Collaborative agreement CHIEF-AUSL Romagna, Italy. Service contract “CHIEF DATA COLLECTION FIELD TEST”. </w:t>
      </w:r>
      <w:r>
        <w:rPr>
          <w:rFonts w:ascii="Times New Roman" w:hAnsi="Times New Roman"/>
          <w:b w:val="false"/>
          <w:bCs w:val="false"/>
          <w:sz w:val="22"/>
          <w:szCs w:val="22"/>
        </w:rPr>
        <w:t>Provision of a set of indicators describing aspects of diabetes incidence and care in the Romagna region, delivered in the form of tables containing aggregated and anonymized data, in compliance with applicable data protection regulations</w:t>
      </w:r>
      <w:r>
        <w:rPr>
          <w:b w:val="false"/>
          <w:bCs w:val="false"/>
        </w:rPr>
        <w:t>.</w:t>
      </w:r>
    </w:p>
    <w:p>
      <w:pPr>
        <w:pStyle w:val="BodyText"/>
        <w:bidi w:val="0"/>
        <w:spacing w:lineRule="auto" w:line="276" w:before="0" w:after="140"/>
        <w:ind w:hanging="0" w:start="0" w:end="0"/>
        <w:jc w:val="center"/>
        <w:rPr>
          <w:rFonts w:ascii="Times New Roman" w:hAnsi="Times New Roman"/>
          <w:b/>
          <w:bCs/>
          <w:sz w:val="22"/>
          <w:szCs w:val="22"/>
        </w:rPr>
      </w:pPr>
      <w:r>
        <w:rPr>
          <w:rFonts w:ascii="Times New Roman" w:hAnsi="Times New Roman"/>
          <w:b/>
          <w:bCs/>
          <w:sz w:val="22"/>
          <w:szCs w:val="22"/>
        </w:rPr>
      </w:r>
    </w:p>
    <w:p>
      <w:pPr>
        <w:pStyle w:val="BodyText"/>
        <w:bidi w:val="0"/>
        <w:spacing w:lineRule="auto" w:line="276" w:before="0" w:after="140"/>
        <w:ind w:hanging="0" w:start="0" w:end="0"/>
        <w:jc w:val="center"/>
        <w:rPr>
          <w:rFonts w:ascii="Times New Roman" w:hAnsi="Times New Roman"/>
          <w:b/>
          <w:bCs/>
          <w:sz w:val="22"/>
          <w:szCs w:val="22"/>
        </w:rPr>
      </w:pPr>
      <w:r>
        <w:rPr>
          <w:rFonts w:ascii="Times New Roman" w:hAnsi="Times New Roman"/>
          <w:b/>
          <w:bCs/>
          <w:sz w:val="22"/>
          <w:szCs w:val="22"/>
        </w:rPr>
      </w:r>
      <w:r>
        <w:br w:type="page"/>
      </w:r>
    </w:p>
    <w:p>
      <w:pPr>
        <w:pStyle w:val="BodyText"/>
        <w:bidi w:val="0"/>
        <w:spacing w:lineRule="auto" w:line="276" w:before="0" w:after="140"/>
        <w:ind w:hanging="0" w:start="0" w:end="0"/>
        <w:jc w:val="center"/>
        <w:rPr>
          <w:sz w:val="22"/>
          <w:szCs w:val="22"/>
        </w:rPr>
      </w:pPr>
      <w:bookmarkStart w:id="0" w:name="__RefHeading___Toc66623_4183755693"/>
      <w:bookmarkEnd w:id="0"/>
      <w:r>
        <w:rPr>
          <w:b/>
          <w:bCs/>
          <w:sz w:val="22"/>
          <w:szCs w:val="22"/>
        </w:rPr>
        <w:t>Table 2. List of experts involved by country</w:t>
      </w:r>
    </w:p>
    <w:tbl>
      <w:tblPr>
        <w:tblW w:w="5721" w:type="dxa"/>
        <w:jc w:val="center"/>
        <w:tblInd w:w="0" w:type="dxa"/>
        <w:tblLayout w:type="fixed"/>
        <w:tblCellMar>
          <w:top w:w="0" w:type="dxa"/>
          <w:start w:w="108" w:type="dxa"/>
          <w:bottom w:w="0" w:type="dxa"/>
          <w:end w:w="108" w:type="dxa"/>
        </w:tblCellMar>
      </w:tblPr>
      <w:tblGrid>
        <w:gridCol w:w="512"/>
        <w:gridCol w:w="2263"/>
        <w:gridCol w:w="2946"/>
      </w:tblGrid>
      <w:tr>
        <w:trPr>
          <w:tblHeader w:val="true"/>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b/>
                <w:bCs/>
                <w:sz w:val="22"/>
                <w:szCs w:val="22"/>
              </w:rPr>
            </w:pPr>
            <w:r>
              <w:rPr>
                <w:rFonts w:ascii="Times New Roman" w:hAnsi="Times New Roman"/>
                <w:b/>
                <w:bCs/>
                <w:sz w:val="22"/>
                <w:szCs w:val="22"/>
              </w:rPr>
              <w:t>#</w:t>
            </w:r>
          </w:p>
        </w:tc>
        <w:tc>
          <w:tcPr>
            <w:tcW w:w="2263"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b/>
                <w:bCs/>
                <w:kern w:val="0"/>
                <w:sz w:val="22"/>
                <w:szCs w:val="22"/>
                <w:lang w:val="en-GB" w:eastAsia="en-US" w:bidi="ar-SA"/>
              </w:rPr>
            </w:pPr>
            <w:r>
              <w:rPr>
                <w:rFonts w:eastAsia="EC Square Sans Pro" w:ascii="Times New Roman" w:hAnsi="Times New Roman"/>
                <w:b/>
                <w:bCs/>
                <w:kern w:val="0"/>
                <w:sz w:val="22"/>
                <w:szCs w:val="22"/>
                <w:lang w:val="en-GB" w:eastAsia="en-US" w:bidi="ar-SA"/>
              </w:rPr>
              <w:t>Country</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b/>
                <w:bCs/>
                <w:sz w:val="22"/>
                <w:szCs w:val="22"/>
              </w:rPr>
            </w:pPr>
            <w:r>
              <w:rPr>
                <w:rFonts w:ascii="Times New Roman" w:hAnsi="Times New Roman"/>
                <w:b/>
                <w:bCs/>
                <w:sz w:val="22"/>
                <w:szCs w:val="22"/>
              </w:rPr>
              <w:t>Expert</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p>
        </w:tc>
        <w:tc>
          <w:tcPr>
            <w:tcW w:w="2263" w:type="dxa"/>
            <w:vMerge w:val="restart"/>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t>Belgium</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cs="Consolas" w:ascii="Times New Roman" w:hAnsi="Times New Roman"/>
                <w:color w:val="000000"/>
                <w:sz w:val="22"/>
                <w:szCs w:val="22"/>
                <w:lang w:val="it-IT"/>
              </w:rPr>
              <w:t>Elisabeth Dupont</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2</w:t>
            </w:r>
          </w:p>
        </w:tc>
        <w:tc>
          <w:tcPr>
            <w:tcW w:w="2263" w:type="dxa"/>
            <w:vMerge w:val="continue"/>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Astrid Lavens</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3</w:t>
            </w:r>
          </w:p>
        </w:tc>
        <w:tc>
          <w:tcPr>
            <w:tcW w:w="2263" w:type="dxa"/>
            <w:vMerge w:val="restart"/>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t>Croatia</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cs="Consolas" w:ascii="Times New Roman" w:hAnsi="Times New Roman"/>
                <w:color w:val="000000"/>
                <w:sz w:val="22"/>
                <w:szCs w:val="22"/>
                <w:lang w:val="it-IT"/>
              </w:rPr>
              <w:t>Tamara Buble</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4</w:t>
            </w:r>
          </w:p>
        </w:tc>
        <w:tc>
          <w:tcPr>
            <w:tcW w:w="2263" w:type="dxa"/>
            <w:vMerge w:val="continue"/>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cs="Consolas" w:ascii="Times New Roman" w:hAnsi="Times New Roman"/>
                <w:color w:val="000000"/>
                <w:sz w:val="22"/>
                <w:szCs w:val="22"/>
                <w:lang w:val="it-IT"/>
              </w:rPr>
              <w:t>Jelena Dimnjakovic</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5</w:t>
            </w:r>
          </w:p>
        </w:tc>
        <w:tc>
          <w:tcPr>
            <w:tcW w:w="2263" w:type="dxa"/>
            <w:vMerge w:val="continue"/>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Tamara Poljicanin</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6</w:t>
            </w:r>
          </w:p>
        </w:tc>
        <w:tc>
          <w:tcPr>
            <w:tcW w:w="2263" w:type="dxa"/>
            <w:vMerge w:val="continue"/>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Ivan Pristaš</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7</w:t>
            </w:r>
          </w:p>
        </w:tc>
        <w:tc>
          <w:tcPr>
            <w:tcW w:w="2263"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t>Denmark</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Peter Rossing</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8</w:t>
            </w:r>
          </w:p>
        </w:tc>
        <w:tc>
          <w:tcPr>
            <w:tcW w:w="2263"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t>France</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Elettra Ronchi</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9</w:t>
            </w:r>
          </w:p>
        </w:tc>
        <w:tc>
          <w:tcPr>
            <w:tcW w:w="2263"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t>Hungary</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ascii="Times New Roman" w:hAnsi="Times New Roman"/>
                <w:sz w:val="22"/>
                <w:szCs w:val="22"/>
              </w:rPr>
              <w:t>Janos Sandor</w:t>
            </w:r>
          </w:p>
        </w:tc>
      </w:tr>
      <w:tr>
        <w:trPr>
          <w:trHeight w:val="432" w:hRule="atLeast"/>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10</w:t>
            </w:r>
          </w:p>
        </w:tc>
        <w:tc>
          <w:tcPr>
            <w:tcW w:w="2263" w:type="dxa"/>
            <w:vMerge w:val="restart"/>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Italy</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Fabrizio Carinci</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1</w:t>
            </w:r>
          </w:p>
        </w:tc>
        <w:tc>
          <w:tcPr>
            <w:tcW w:w="2263" w:type="dxa"/>
            <w:vMerge w:val="continue"/>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sz w:val="22"/>
                <w:szCs w:val="22"/>
              </w:rPr>
            </w:pPr>
            <w:r>
              <w:rPr>
                <w:rFonts w:ascii="Times New Roman" w:hAnsi="Times New Roman"/>
                <w:sz w:val="22"/>
                <w:szCs w:val="22"/>
              </w:rPr>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Tania Di Iorio</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2</w:t>
            </w:r>
          </w:p>
        </w:tc>
        <w:tc>
          <w:tcPr>
            <w:tcW w:w="2263" w:type="dxa"/>
            <w:vMerge w:val="continue"/>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sz w:val="22"/>
                <w:szCs w:val="22"/>
              </w:rPr>
            </w:pPr>
            <w:r>
              <w:rPr>
                <w:rFonts w:ascii="Times New Roman" w:hAnsi="Times New Roman"/>
                <w:sz w:val="22"/>
                <w:szCs w:val="22"/>
              </w:rPr>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Massimo Massi Benedetti</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3</w:t>
            </w:r>
          </w:p>
        </w:tc>
        <w:tc>
          <w:tcPr>
            <w:tcW w:w="2263" w:type="dxa"/>
            <w:vMerge w:val="restart"/>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Latvia</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Zane Baltāne</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4</w:t>
            </w:r>
          </w:p>
        </w:tc>
        <w:tc>
          <w:tcPr>
            <w:tcW w:w="2263" w:type="dxa"/>
            <w:vMerge w:val="continue"/>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Jana Lepiksone</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5</w:t>
            </w:r>
          </w:p>
        </w:tc>
        <w:tc>
          <w:tcPr>
            <w:tcW w:w="2263" w:type="dxa"/>
            <w:vMerge w:val="restart"/>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Malta</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Stephen Fava</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6</w:t>
            </w:r>
          </w:p>
        </w:tc>
        <w:tc>
          <w:tcPr>
            <w:tcW w:w="2263" w:type="dxa"/>
            <w:vMerge w:val="continue"/>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Sascha Reiff</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7</w:t>
            </w:r>
          </w:p>
        </w:tc>
        <w:tc>
          <w:tcPr>
            <w:tcW w:w="2263"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t>Netherlands</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Niek Klazinga</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8</w:t>
            </w:r>
          </w:p>
        </w:tc>
        <w:tc>
          <w:tcPr>
            <w:tcW w:w="2263"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t>Slovenia</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ascii="Times New Roman" w:hAnsi="Times New Roman"/>
                <w:sz w:val="22"/>
                <w:szCs w:val="22"/>
              </w:rPr>
              <w:t>Iztok Stotl</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1</w:t>
            </w:r>
            <w:r>
              <w:rPr>
                <w:rFonts w:ascii="Times New Roman" w:hAnsi="Times New Roman"/>
                <w:sz w:val="22"/>
                <w:szCs w:val="22"/>
              </w:rPr>
              <w:t>9</w:t>
            </w:r>
          </w:p>
        </w:tc>
        <w:tc>
          <w:tcPr>
            <w:tcW w:w="2263" w:type="dxa"/>
            <w:vMerge w:val="restart"/>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United Kingdom</w:t>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eastAsia="EC Square Sans Pro" w:cs="Consolas" w:ascii="Times New Roman" w:hAnsi="Times New Roman"/>
                <w:color w:val="000000"/>
                <w:kern w:val="0"/>
                <w:sz w:val="22"/>
                <w:szCs w:val="22"/>
                <w:lang w:val="it-IT" w:eastAsia="en-US" w:bidi="ar-SA"/>
              </w:rPr>
              <w:t>Scott Cunningham</w:t>
            </w:r>
          </w:p>
        </w:tc>
      </w:tr>
      <w:tr>
        <w:trPr/>
        <w:tc>
          <w:tcPr>
            <w:tcW w:w="512" w:type="dxa"/>
            <w:tcBorders>
              <w:start w:val="single" w:sz="4" w:space="0" w:color="000000"/>
              <w:bottom w:val="single" w:sz="4" w:space="0" w:color="000000"/>
            </w:tcBorders>
          </w:tcPr>
          <w:p>
            <w:pPr>
              <w:pStyle w:val="Normal"/>
              <w:widowControl/>
              <w:spacing w:lineRule="auto" w:line="264" w:before="80" w:after="80"/>
              <w:jc w:val="center"/>
              <w:rPr>
                <w:rFonts w:ascii="Times New Roman" w:hAnsi="Times New Roman"/>
                <w:sz w:val="22"/>
                <w:szCs w:val="22"/>
              </w:rPr>
            </w:pPr>
            <w:r>
              <w:rPr>
                <w:rFonts w:ascii="Times New Roman" w:hAnsi="Times New Roman"/>
                <w:sz w:val="22"/>
                <w:szCs w:val="22"/>
              </w:rPr>
              <w:t>20</w:t>
            </w:r>
          </w:p>
        </w:tc>
        <w:tc>
          <w:tcPr>
            <w:tcW w:w="2263" w:type="dxa"/>
            <w:vMerge w:val="continue"/>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kern w:val="0"/>
                <w:sz w:val="22"/>
                <w:szCs w:val="22"/>
                <w:lang w:val="en-GB" w:eastAsia="en-US" w:bidi="ar-SA"/>
              </w:rPr>
            </w:pPr>
            <w:r>
              <w:rPr>
                <w:rFonts w:eastAsia="EC Square Sans Pro" w:ascii="Times New Roman" w:hAnsi="Times New Roman"/>
                <w:kern w:val="0"/>
                <w:sz w:val="22"/>
                <w:szCs w:val="22"/>
                <w:lang w:val="en-GB" w:eastAsia="en-US" w:bidi="ar-SA"/>
              </w:rPr>
            </w:r>
          </w:p>
        </w:tc>
        <w:tc>
          <w:tcPr>
            <w:tcW w:w="2946" w:type="dxa"/>
            <w:tcBorders>
              <w:start w:val="single" w:sz="4" w:space="0" w:color="000000"/>
              <w:bottom w:val="single" w:sz="4" w:space="0" w:color="000000"/>
              <w:end w:val="single" w:sz="4" w:space="0" w:color="000000"/>
            </w:tcBorders>
          </w:tcPr>
          <w:p>
            <w:pPr>
              <w:pStyle w:val="Normal"/>
              <w:widowControl/>
              <w:spacing w:lineRule="auto" w:line="264" w:before="80" w:after="80"/>
              <w:jc w:val="start"/>
              <w:rPr>
                <w:rFonts w:ascii="Times New Roman" w:hAnsi="Times New Roman"/>
                <w:sz w:val="22"/>
                <w:szCs w:val="22"/>
              </w:rPr>
            </w:pPr>
            <w:r>
              <w:rPr>
                <w:rFonts w:cs="Consolas" w:ascii="Times New Roman" w:hAnsi="Times New Roman"/>
                <w:color w:val="000000"/>
                <w:sz w:val="22"/>
                <w:szCs w:val="22"/>
                <w:lang w:val="it-IT"/>
              </w:rPr>
              <w:t>Lisa Pennells</w:t>
            </w:r>
          </w:p>
        </w:tc>
      </w:tr>
    </w:tbl>
    <w:p>
      <w:pPr>
        <w:pStyle w:val="JRCTablesource"/>
        <w:rPr>
          <w:iCs/>
        </w:rPr>
      </w:pPr>
      <w:r>
        <w:rPr>
          <w:iCs/>
        </w:rPr>
      </w:r>
      <w:bookmarkStart w:id="1" w:name="__RefHeading___Toc66627_4183755693"/>
      <w:bookmarkStart w:id="2" w:name="__RefHeading___Toc66627_4183755693"/>
      <w:bookmarkEnd w:id="2"/>
    </w:p>
    <w:p>
      <w:pPr>
        <w:pStyle w:val="JRCTablesource"/>
        <w:rPr>
          <w:iCs/>
          <w:color w:val="FF0000"/>
        </w:rPr>
      </w:pPr>
      <w:r>
        <w:rPr>
          <w:iCs/>
          <w:color w:val="FF0000"/>
        </w:rPr>
      </w:r>
    </w:p>
    <w:p>
      <w:pPr>
        <w:pStyle w:val="BodyText"/>
        <w:bidi w:val="0"/>
        <w:spacing w:lineRule="auto" w:line="276" w:before="0" w:after="140"/>
        <w:ind w:hanging="0" w:start="0" w:end="0"/>
        <w:jc w:val="center"/>
        <w:rPr>
          <w:sz w:val="22"/>
          <w:szCs w:val="22"/>
        </w:rPr>
      </w:pPr>
      <w:r>
        <w:rPr>
          <w:sz w:val="22"/>
          <w:szCs w:val="22"/>
        </w:rPr>
      </w:r>
      <w:r>
        <w:br w:type="page"/>
      </w:r>
    </w:p>
    <w:p>
      <w:pPr>
        <w:pStyle w:val="BodyText"/>
        <w:bidi w:val="0"/>
        <w:spacing w:lineRule="auto" w:line="276" w:before="0" w:after="140"/>
        <w:ind w:hanging="0" w:start="0" w:end="0"/>
        <w:jc w:val="center"/>
        <w:rPr>
          <w:sz w:val="22"/>
          <w:szCs w:val="22"/>
        </w:rPr>
      </w:pPr>
      <w:bookmarkStart w:id="3" w:name="__RefHeading___Toc66623_4183755693_Copy_"/>
      <w:bookmarkEnd w:id="3"/>
      <w:r>
        <w:rPr>
          <w:b/>
          <w:bCs/>
          <w:sz w:val="22"/>
          <w:szCs w:val="22"/>
        </w:rPr>
        <w:t>Table 3. Expert Meetings</w:t>
      </w:r>
    </w:p>
    <w:tbl>
      <w:tblPr>
        <w:tblW w:w="7307" w:type="dxa"/>
        <w:jc w:val="center"/>
        <w:tblInd w:w="0" w:type="dxa"/>
        <w:tblLayout w:type="fixed"/>
        <w:tblCellMar>
          <w:top w:w="0" w:type="dxa"/>
          <w:start w:w="108" w:type="dxa"/>
          <w:bottom w:w="0" w:type="dxa"/>
          <w:end w:w="108" w:type="dxa"/>
        </w:tblCellMar>
      </w:tblPr>
      <w:tblGrid>
        <w:gridCol w:w="621"/>
        <w:gridCol w:w="1359"/>
        <w:gridCol w:w="3516"/>
        <w:gridCol w:w="1811"/>
      </w:tblGrid>
      <w:tr>
        <w:trPr>
          <w:tblHeader w:val="true"/>
          <w:trHeight w:val="432" w:hRule="atLeast"/>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b/>
                <w:bCs/>
                <w:sz w:val="22"/>
                <w:szCs w:val="22"/>
              </w:rPr>
            </w:pPr>
            <w:r>
              <w:rPr>
                <w:rFonts w:ascii="Times New Roman" w:hAnsi="Times New Roman"/>
                <w:b/>
                <w:bCs/>
                <w:sz w:val="22"/>
                <w:szCs w:val="22"/>
              </w:rPr>
              <w:t>#</w:t>
            </w:r>
          </w:p>
        </w:tc>
        <w:tc>
          <w:tcPr>
            <w:tcW w:w="1359"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eastAsia="EC Square Sans Pro"/>
                <w:b/>
                <w:bCs/>
                <w:kern w:val="0"/>
                <w:sz w:val="22"/>
                <w:szCs w:val="22"/>
                <w:lang w:val="en-GB" w:eastAsia="en-US" w:bidi="ar-SA"/>
              </w:rPr>
            </w:pPr>
            <w:r>
              <w:rPr>
                <w:rFonts w:eastAsia="EC Square Sans Pro" w:ascii="Times New Roman" w:hAnsi="Times New Roman"/>
                <w:b/>
                <w:bCs/>
                <w:kern w:val="0"/>
                <w:sz w:val="22"/>
                <w:szCs w:val="22"/>
                <w:lang w:val="en-GB" w:eastAsia="en-US" w:bidi="ar-SA"/>
              </w:rPr>
              <w:t>Year</w:t>
            </w:r>
          </w:p>
        </w:tc>
        <w:tc>
          <w:tcPr>
            <w:tcW w:w="3516"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b/>
                <w:bCs/>
                <w:sz w:val="22"/>
                <w:szCs w:val="22"/>
              </w:rPr>
            </w:pPr>
            <w:r>
              <w:rPr>
                <w:rFonts w:ascii="Times New Roman" w:hAnsi="Times New Roman"/>
                <w:b/>
                <w:bCs/>
                <w:sz w:val="22"/>
                <w:szCs w:val="22"/>
              </w:rPr>
              <w:t>Meeting</w:t>
            </w:r>
          </w:p>
        </w:tc>
        <w:tc>
          <w:tcPr>
            <w:tcW w:w="1811"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b/>
                <w:bCs/>
                <w:sz w:val="22"/>
                <w:szCs w:val="22"/>
              </w:rPr>
            </w:pPr>
            <w:r>
              <w:rPr>
                <w:rFonts w:ascii="Times New Roman" w:hAnsi="Times New Roman"/>
                <w:b/>
                <w:bCs/>
                <w:sz w:val="22"/>
                <w:szCs w:val="22"/>
              </w:rPr>
              <w:t>Date</w:t>
            </w:r>
          </w:p>
        </w:tc>
      </w:tr>
      <w:tr>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1</w:t>
            </w:r>
          </w:p>
        </w:tc>
        <w:tc>
          <w:tcPr>
            <w:tcW w:w="1359" w:type="dxa"/>
            <w:vMerge w:val="restart"/>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eastAsia="EC Square Sans Pro" w:cs="Consolas" w:ascii="Times New Roman" w:hAnsi="Times New Roman"/>
                <w:color w:val="000000"/>
                <w:kern w:val="0"/>
                <w:sz w:val="24"/>
                <w:szCs w:val="24"/>
                <w:lang w:val="it-IT" w:eastAsia="en-US" w:bidi="ar-SA"/>
              </w:rPr>
              <w:t>2022</w:t>
            </w:r>
          </w:p>
        </w:tc>
        <w:tc>
          <w:tcPr>
            <w:tcW w:w="3516"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sz w:val="24"/>
                <w:szCs w:val="24"/>
              </w:rPr>
            </w:pPr>
            <w:r>
              <w:rPr>
                <w:rFonts w:eastAsia="EC Square Sans Pro" w:cs="Consolas" w:ascii="Times New Roman" w:hAnsi="Times New Roman"/>
                <w:color w:val="000000"/>
                <w:kern w:val="0"/>
                <w:sz w:val="24"/>
                <w:szCs w:val="24"/>
                <w:lang w:val="it-IT" w:eastAsia="en-US" w:bidi="ar-SA"/>
              </w:rPr>
              <w:t>1</w:t>
            </w:r>
            <w:r>
              <w:rPr>
                <w:rFonts w:eastAsia="EC Square Sans Pro" w:cs="Consolas" w:ascii="Times New Roman" w:hAnsi="Times New Roman"/>
                <w:b w:val="false"/>
                <w:bCs w:val="false"/>
                <w:color w:val="000000"/>
                <w:kern w:val="0"/>
                <w:sz w:val="24"/>
                <w:szCs w:val="24"/>
                <w:vertAlign w:val="superscript"/>
                <w:lang w:val="it-IT" w:eastAsia="en-US" w:bidi="ar-SA"/>
              </w:rPr>
              <w:t>st</w:t>
            </w:r>
            <w:r>
              <w:rPr>
                <w:rFonts w:eastAsia="EC Square Sans Pro" w:cs="Consolas" w:ascii="Times New Roman" w:hAnsi="Times New Roman"/>
                <w:color w:val="000000"/>
                <w:kern w:val="0"/>
                <w:sz w:val="24"/>
                <w:szCs w:val="24"/>
                <w:lang w:val="it-IT" w:eastAsia="en-US" w:bidi="ar-SA"/>
              </w:rPr>
              <w:t xml:space="preserve"> Annual Meeting</w:t>
            </w:r>
          </w:p>
        </w:tc>
        <w:tc>
          <w:tcPr>
            <w:tcW w:w="1811"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eastAsia="EC Square Sans Pro" w:cs="Consolas"/>
                <w:color w:val="000000"/>
                <w:kern w:val="0"/>
                <w:sz w:val="24"/>
                <w:szCs w:val="24"/>
                <w:lang w:val="it-IT" w:eastAsia="en-US" w:bidi="ar-SA"/>
              </w:rPr>
            </w:pPr>
            <w:r>
              <w:rPr>
                <w:rFonts w:eastAsia="EC Square Sans Pro" w:cs="Consolas" w:ascii="Times New Roman" w:hAnsi="Times New Roman"/>
                <w:color w:val="000000"/>
                <w:kern w:val="0"/>
                <w:sz w:val="24"/>
                <w:szCs w:val="24"/>
                <w:lang w:val="it-IT" w:eastAsia="en-US" w:bidi="ar-SA"/>
              </w:rPr>
              <w:t>4/11/2022</w:t>
            </w:r>
          </w:p>
        </w:tc>
      </w:tr>
      <w:tr>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2</w:t>
            </w:r>
          </w:p>
        </w:tc>
        <w:tc>
          <w:tcPr>
            <w:tcW w:w="1359" w:type="dxa"/>
            <w:vMerge w:val="continue"/>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eastAsia="EC Square Sans Pro"/>
                <w:kern w:val="0"/>
                <w:sz w:val="24"/>
                <w:szCs w:val="24"/>
                <w:lang w:val="en-GB" w:eastAsia="en-US" w:bidi="ar-SA"/>
              </w:rPr>
            </w:pPr>
            <w:r>
              <w:rPr>
                <w:rFonts w:eastAsia="EC Square Sans Pro" w:ascii="Times New Roman" w:hAnsi="Times New Roman"/>
                <w:kern w:val="0"/>
                <w:sz w:val="24"/>
                <w:szCs w:val="24"/>
                <w:lang w:val="en-GB" w:eastAsia="en-US" w:bidi="ar-SA"/>
              </w:rPr>
            </w:r>
          </w:p>
        </w:tc>
        <w:tc>
          <w:tcPr>
            <w:tcW w:w="3516"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eastAsia="EC Square Sans Pro" w:cs="Consolas"/>
                <w:color w:val="000000"/>
                <w:kern w:val="0"/>
                <w:sz w:val="24"/>
                <w:szCs w:val="24"/>
                <w:lang w:val="it-IT" w:eastAsia="en-US" w:bidi="ar-SA"/>
              </w:rPr>
            </w:pPr>
            <w:r>
              <w:rPr>
                <w:rFonts w:eastAsia="EC Square Sans Pro" w:cs="Consolas" w:ascii="Times New Roman" w:hAnsi="Times New Roman"/>
                <w:color w:val="000000"/>
                <w:kern w:val="0"/>
                <w:sz w:val="24"/>
                <w:szCs w:val="24"/>
                <w:lang w:val="it-IT" w:eastAsia="en-US" w:bidi="ar-SA"/>
              </w:rPr>
              <w:t>IDF Lisbon Conference Meeting</w:t>
            </w:r>
          </w:p>
        </w:tc>
        <w:tc>
          <w:tcPr>
            <w:tcW w:w="1811"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eastAsia="EC Square Sans Pro" w:cs="Consolas"/>
                <w:color w:val="000000"/>
                <w:kern w:val="0"/>
                <w:sz w:val="24"/>
                <w:szCs w:val="24"/>
                <w:lang w:val="it-IT" w:eastAsia="en-US" w:bidi="ar-SA"/>
              </w:rPr>
            </w:pPr>
            <w:r>
              <w:rPr>
                <w:rFonts w:eastAsia="EC Square Sans Pro" w:cs="Consolas" w:ascii="Times New Roman" w:hAnsi="Times New Roman"/>
                <w:color w:val="000000"/>
                <w:kern w:val="0"/>
                <w:sz w:val="24"/>
                <w:szCs w:val="24"/>
                <w:lang w:val="it-IT" w:eastAsia="en-US" w:bidi="ar-SA"/>
              </w:rPr>
              <w:t>8/12/2022</w:t>
            </w:r>
          </w:p>
        </w:tc>
      </w:tr>
      <w:tr>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3</w:t>
            </w:r>
          </w:p>
        </w:tc>
        <w:tc>
          <w:tcPr>
            <w:tcW w:w="1359"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eastAsia="EC Square Sans Pro"/>
                <w:kern w:val="0"/>
                <w:sz w:val="24"/>
                <w:szCs w:val="24"/>
                <w:lang w:val="en-GB" w:eastAsia="en-US" w:bidi="ar-SA"/>
              </w:rPr>
            </w:pPr>
            <w:r>
              <w:rPr>
                <w:rFonts w:eastAsia="EC Square Sans Pro" w:ascii="Times New Roman" w:hAnsi="Times New Roman"/>
                <w:kern w:val="0"/>
                <w:sz w:val="24"/>
                <w:szCs w:val="24"/>
                <w:lang w:val="en-GB" w:eastAsia="en-US" w:bidi="ar-SA"/>
              </w:rPr>
              <w:t>2024</w:t>
            </w:r>
          </w:p>
        </w:tc>
        <w:tc>
          <w:tcPr>
            <w:tcW w:w="3516"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sz w:val="24"/>
                <w:szCs w:val="24"/>
              </w:rPr>
            </w:pPr>
            <w:r>
              <w:rPr>
                <w:rFonts w:eastAsia="EC Square Sans Pro" w:cs="Consolas" w:ascii="Times New Roman" w:hAnsi="Times New Roman"/>
                <w:color w:val="000000"/>
                <w:kern w:val="0"/>
                <w:sz w:val="24"/>
                <w:szCs w:val="24"/>
                <w:lang w:val="it-IT" w:eastAsia="en-US" w:bidi="ar-SA"/>
              </w:rPr>
              <w:t>2</w:t>
            </w:r>
            <w:r>
              <w:rPr>
                <w:rFonts w:eastAsia="EC Square Sans Pro" w:cs="Consolas" w:ascii="Times New Roman" w:hAnsi="Times New Roman"/>
                <w:color w:val="000000"/>
                <w:kern w:val="0"/>
                <w:sz w:val="24"/>
                <w:szCs w:val="24"/>
                <w:vertAlign w:val="superscript"/>
                <w:lang w:val="it-IT" w:eastAsia="en-US" w:bidi="ar-SA"/>
              </w:rPr>
              <w:t>nd</w:t>
            </w:r>
            <w:r>
              <w:rPr>
                <w:rFonts w:eastAsia="EC Square Sans Pro" w:cs="Consolas" w:ascii="Times New Roman" w:hAnsi="Times New Roman"/>
                <w:color w:val="000000"/>
                <w:kern w:val="0"/>
                <w:sz w:val="24"/>
                <w:szCs w:val="24"/>
                <w:lang w:val="it-IT" w:eastAsia="en-US" w:bidi="ar-SA"/>
              </w:rPr>
              <w:t xml:space="preserve"> Annual Meeting, JRC Ispra</w:t>
            </w:r>
          </w:p>
        </w:tc>
        <w:tc>
          <w:tcPr>
            <w:tcW w:w="1811"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25/10/2024</w:t>
            </w:r>
          </w:p>
        </w:tc>
      </w:tr>
      <w:tr>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4</w:t>
            </w:r>
          </w:p>
        </w:tc>
        <w:tc>
          <w:tcPr>
            <w:tcW w:w="1359"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eastAsia="EC Square Sans Pro"/>
                <w:kern w:val="0"/>
                <w:sz w:val="24"/>
                <w:szCs w:val="24"/>
                <w:lang w:val="en-GB" w:eastAsia="en-US" w:bidi="ar-SA"/>
              </w:rPr>
            </w:pPr>
            <w:r>
              <w:rPr>
                <w:rFonts w:eastAsia="EC Square Sans Pro" w:ascii="Times New Roman" w:hAnsi="Times New Roman"/>
                <w:kern w:val="0"/>
                <w:sz w:val="24"/>
                <w:szCs w:val="24"/>
                <w:lang w:val="en-GB" w:eastAsia="en-US" w:bidi="ar-SA"/>
              </w:rPr>
              <w:t>2025</w:t>
            </w:r>
          </w:p>
        </w:tc>
        <w:tc>
          <w:tcPr>
            <w:tcW w:w="3516" w:type="dxa"/>
            <w:tcBorders>
              <w:start w:val="single" w:sz="4" w:space="0" w:color="000000"/>
              <w:bottom w:val="single" w:sz="4" w:space="0" w:color="000000"/>
            </w:tcBorders>
            <w:vAlign w:val="center"/>
          </w:tcPr>
          <w:p>
            <w:pPr>
              <w:pStyle w:val="Normal"/>
              <w:bidi w:val="0"/>
              <w:jc w:val="start"/>
              <w:rPr>
                <w:rFonts w:ascii="Times New Roman" w:hAnsi="Times New Roman"/>
                <w:b w:val="false"/>
                <w:bCs w:val="false"/>
                <w:sz w:val="24"/>
                <w:szCs w:val="24"/>
              </w:rPr>
            </w:pPr>
            <w:r>
              <w:rPr>
                <w:rFonts w:eastAsia="EC Square Sans Pro" w:cs="Consolas" w:ascii="Times New Roman" w:hAnsi="Times New Roman"/>
                <w:b w:val="false"/>
                <w:bCs w:val="false"/>
                <w:color w:val="000000"/>
                <w:kern w:val="0"/>
                <w:sz w:val="24"/>
                <w:szCs w:val="24"/>
                <w:lang w:val="it-IT" w:eastAsia="en-US" w:bidi="ar-SA"/>
              </w:rPr>
              <w:t>3</w:t>
            </w:r>
            <w:r>
              <w:rPr>
                <w:rFonts w:eastAsia="EC Square Sans Pro" w:cs="Consolas" w:ascii="Times New Roman" w:hAnsi="Times New Roman"/>
                <w:b w:val="false"/>
                <w:bCs w:val="false"/>
                <w:color w:val="000000"/>
                <w:kern w:val="0"/>
                <w:sz w:val="24"/>
                <w:szCs w:val="24"/>
                <w:vertAlign w:val="superscript"/>
                <w:lang w:val="it-IT" w:eastAsia="en-US" w:bidi="ar-SA"/>
              </w:rPr>
              <w:t>rd</w:t>
            </w:r>
            <w:r>
              <w:rPr>
                <w:rFonts w:eastAsia="EC Square Sans Pro" w:cs="Consolas" w:ascii="Times New Roman" w:hAnsi="Times New Roman"/>
                <w:b w:val="false"/>
                <w:bCs w:val="false"/>
                <w:color w:val="000000"/>
                <w:kern w:val="0"/>
                <w:sz w:val="24"/>
                <w:szCs w:val="24"/>
                <w:lang w:val="it-IT" w:eastAsia="en-US" w:bidi="ar-SA"/>
              </w:rPr>
              <w:t xml:space="preserve"> Annual Meeting, JRC Ispra</w:t>
            </w:r>
          </w:p>
        </w:tc>
        <w:tc>
          <w:tcPr>
            <w:tcW w:w="1811"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19/12/2025</w:t>
            </w:r>
          </w:p>
        </w:tc>
      </w:tr>
      <w:tr>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5</w:t>
            </w:r>
          </w:p>
        </w:tc>
        <w:tc>
          <w:tcPr>
            <w:tcW w:w="1359" w:type="dxa"/>
            <w:vMerge w:val="restart"/>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eastAsia="EC Square Sans Pro" w:cs="Consolas" w:ascii="Times New Roman" w:hAnsi="Times New Roman"/>
                <w:color w:val="000000"/>
                <w:kern w:val="0"/>
                <w:sz w:val="24"/>
                <w:szCs w:val="24"/>
                <w:lang w:val="it-IT" w:eastAsia="en-US" w:bidi="ar-SA"/>
              </w:rPr>
              <w:t>2026</w:t>
            </w:r>
          </w:p>
        </w:tc>
        <w:tc>
          <w:tcPr>
            <w:tcW w:w="3516" w:type="dxa"/>
            <w:tcBorders>
              <w:start w:val="single" w:sz="4" w:space="0" w:color="000000"/>
              <w:bottom w:val="single" w:sz="4" w:space="0" w:color="000000"/>
            </w:tcBorders>
            <w:vAlign w:val="center"/>
          </w:tcPr>
          <w:p>
            <w:pPr>
              <w:pStyle w:val="Normal"/>
              <w:spacing w:before="113" w:after="0"/>
              <w:jc w:val="start"/>
              <w:rPr>
                <w:rFonts w:ascii="Times New Roman" w:hAnsi="Times New Roman"/>
                <w:b w:val="false"/>
                <w:bCs w:val="false"/>
                <w:sz w:val="24"/>
                <w:szCs w:val="24"/>
              </w:rPr>
            </w:pPr>
            <w:r>
              <w:rPr>
                <w:rFonts w:eastAsia="EC Square Sans Pro" w:cs="Consolas" w:ascii="Times New Roman" w:hAnsi="Times New Roman"/>
                <w:b w:val="false"/>
                <w:bCs w:val="false"/>
                <w:color w:val="000000"/>
                <w:kern w:val="0"/>
                <w:sz w:val="24"/>
                <w:szCs w:val="24"/>
                <w:lang w:val="it-IT" w:eastAsia="en-US" w:bidi="ar-SA"/>
              </w:rPr>
              <w:t>4</w:t>
            </w:r>
            <w:r>
              <w:rPr>
                <w:rFonts w:eastAsia="EC Square Sans Pro" w:cs="Consolas" w:ascii="Times New Roman" w:hAnsi="Times New Roman"/>
                <w:b w:val="false"/>
                <w:bCs w:val="false"/>
                <w:color w:val="000000"/>
                <w:kern w:val="0"/>
                <w:sz w:val="24"/>
                <w:szCs w:val="24"/>
                <w:vertAlign w:val="superscript"/>
                <w:lang w:val="it-IT" w:eastAsia="en-US" w:bidi="ar-SA"/>
              </w:rPr>
              <w:t>th</w:t>
            </w:r>
            <w:r>
              <w:rPr>
                <w:rFonts w:eastAsia="EC Square Sans Pro" w:cs="Consolas" w:ascii="Times New Roman" w:hAnsi="Times New Roman"/>
                <w:b w:val="false"/>
                <w:bCs w:val="false"/>
                <w:color w:val="000000"/>
                <w:kern w:val="0"/>
                <w:sz w:val="24"/>
                <w:szCs w:val="24"/>
                <w:lang w:val="it-IT" w:eastAsia="en-US" w:bidi="ar-SA"/>
              </w:rPr>
              <w:t xml:space="preserve"> Annual Meeting, JRC Ispra</w:t>
            </w:r>
          </w:p>
        </w:tc>
        <w:tc>
          <w:tcPr>
            <w:tcW w:w="1811"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b w:val="false"/>
                <w:bCs w:val="false"/>
                <w:sz w:val="24"/>
                <w:szCs w:val="24"/>
              </w:rPr>
            </w:pPr>
            <w:r>
              <w:rPr>
                <w:rFonts w:ascii="Times New Roman" w:hAnsi="Times New Roman"/>
                <w:b w:val="false"/>
                <w:bCs w:val="false"/>
                <w:sz w:val="24"/>
                <w:szCs w:val="24"/>
              </w:rPr>
              <w:t>3/7/2026</w:t>
            </w:r>
          </w:p>
        </w:tc>
      </w:tr>
      <w:tr>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6</w:t>
            </w:r>
          </w:p>
        </w:tc>
        <w:tc>
          <w:tcPr>
            <w:tcW w:w="1359" w:type="dxa"/>
            <w:vMerge w:val="continue"/>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eastAsia="EC Square Sans Pro"/>
                <w:kern w:val="0"/>
                <w:sz w:val="24"/>
                <w:szCs w:val="24"/>
                <w:lang w:val="en-GB" w:eastAsia="en-US" w:bidi="ar-SA"/>
              </w:rPr>
            </w:pPr>
            <w:r>
              <w:rPr>
                <w:rFonts w:eastAsia="EC Square Sans Pro" w:ascii="Times New Roman" w:hAnsi="Times New Roman"/>
                <w:kern w:val="0"/>
                <w:sz w:val="24"/>
                <w:szCs w:val="24"/>
                <w:lang w:val="en-GB" w:eastAsia="en-US" w:bidi="ar-SA"/>
              </w:rPr>
            </w:r>
          </w:p>
        </w:tc>
        <w:tc>
          <w:tcPr>
            <w:tcW w:w="3516" w:type="dxa"/>
            <w:tcBorders>
              <w:start w:val="single" w:sz="4" w:space="0" w:color="000000"/>
              <w:bottom w:val="single" w:sz="4" w:space="0" w:color="000000"/>
            </w:tcBorders>
            <w:vAlign w:val="center"/>
          </w:tcPr>
          <w:p>
            <w:pPr>
              <w:pStyle w:val="Normal"/>
              <w:spacing w:before="113" w:after="0"/>
              <w:jc w:val="start"/>
              <w:rPr>
                <w:rFonts w:ascii="Times New Roman" w:hAnsi="Times New Roman"/>
                <w:b w:val="false"/>
                <w:bCs w:val="false"/>
                <w:sz w:val="24"/>
                <w:szCs w:val="24"/>
              </w:rPr>
            </w:pPr>
            <w:r>
              <w:rPr>
                <w:rFonts w:cs="Consolas" w:ascii="Times New Roman" w:hAnsi="Times New Roman"/>
                <w:b w:val="false"/>
                <w:bCs w:val="false"/>
                <w:color w:val="000000"/>
                <w:sz w:val="24"/>
                <w:szCs w:val="24"/>
                <w:lang w:val="it-IT"/>
              </w:rPr>
              <w:t>Final Meeting, JRC Ispra</w:t>
            </w:r>
          </w:p>
        </w:tc>
        <w:tc>
          <w:tcPr>
            <w:tcW w:w="1811" w:type="dxa"/>
            <w:tcBorders>
              <w:start w:val="single" w:sz="4" w:space="0" w:color="000000"/>
              <w:bottom w:val="single" w:sz="4" w:space="0" w:color="000000"/>
              <w:end w:val="single" w:sz="4" w:space="0" w:color="000000"/>
            </w:tcBorders>
            <w:vAlign w:val="center"/>
          </w:tcPr>
          <w:p>
            <w:pPr>
              <w:pStyle w:val="Normal"/>
              <w:spacing w:before="113" w:after="0"/>
              <w:jc w:val="center"/>
              <w:rPr>
                <w:rFonts w:ascii="Times New Roman" w:hAnsi="Times New Roman"/>
                <w:b w:val="false"/>
                <w:bCs w:val="false"/>
                <w:sz w:val="24"/>
                <w:szCs w:val="24"/>
              </w:rPr>
            </w:pPr>
            <w:r>
              <w:rPr>
                <w:rFonts w:cs="Consolas" w:ascii="Times New Roman" w:hAnsi="Times New Roman"/>
                <w:b w:val="false"/>
                <w:bCs w:val="false"/>
                <w:color w:val="000000"/>
                <w:sz w:val="24"/>
                <w:szCs w:val="24"/>
                <w:lang w:val="it-IT"/>
              </w:rPr>
              <w:t>12-13/10/2026</w:t>
            </w:r>
          </w:p>
        </w:tc>
      </w:tr>
    </w:tbl>
    <w:p>
      <w:pPr>
        <w:pStyle w:val="JRCTablesource"/>
        <w:rPr>
          <w:iCs/>
        </w:rPr>
      </w:pPr>
      <w:r>
        <w:rPr>
          <w:iCs/>
        </w:rPr>
      </w:r>
    </w:p>
    <w:p>
      <w:pPr>
        <w:pStyle w:val="BodyText"/>
        <w:bidi w:val="0"/>
        <w:spacing w:lineRule="auto" w:line="276" w:before="0" w:after="140"/>
        <w:ind w:hanging="0" w:start="0" w:end="0"/>
        <w:jc w:val="center"/>
        <w:rPr>
          <w:sz w:val="22"/>
          <w:szCs w:val="22"/>
        </w:rPr>
      </w:pPr>
      <w:r>
        <w:rPr>
          <w:sz w:val="22"/>
          <w:szCs w:val="22"/>
        </w:rPr>
      </w:r>
      <w:r>
        <w:br w:type="page"/>
      </w:r>
    </w:p>
    <w:p>
      <w:pPr>
        <w:pStyle w:val="BodyText"/>
        <w:bidi w:val="0"/>
        <w:spacing w:lineRule="auto" w:line="276" w:before="0" w:after="140"/>
        <w:ind w:hanging="0" w:start="0" w:end="0"/>
        <w:jc w:val="center"/>
        <w:rPr>
          <w:sz w:val="22"/>
          <w:szCs w:val="22"/>
        </w:rPr>
      </w:pPr>
      <w:bookmarkStart w:id="4" w:name="__RefHeading___Toc66623_4183755693_Copy1"/>
      <w:bookmarkEnd w:id="4"/>
      <w:r>
        <w:rPr>
          <w:b/>
          <w:bCs/>
          <w:sz w:val="22"/>
          <w:szCs w:val="22"/>
        </w:rPr>
        <w:t>Table 4. Stakeholder Meetings</w:t>
      </w:r>
    </w:p>
    <w:tbl>
      <w:tblPr>
        <w:tblW w:w="7308" w:type="dxa"/>
        <w:jc w:val="center"/>
        <w:tblInd w:w="0" w:type="dxa"/>
        <w:tblLayout w:type="fixed"/>
        <w:tblCellMar>
          <w:top w:w="0" w:type="dxa"/>
          <w:start w:w="108" w:type="dxa"/>
          <w:bottom w:w="0" w:type="dxa"/>
          <w:end w:w="108" w:type="dxa"/>
        </w:tblCellMar>
      </w:tblPr>
      <w:tblGrid>
        <w:gridCol w:w="621"/>
        <w:gridCol w:w="1072"/>
        <w:gridCol w:w="4026"/>
        <w:gridCol w:w="1589"/>
      </w:tblGrid>
      <w:tr>
        <w:trPr>
          <w:tblHeader w:val="true"/>
          <w:trHeight w:val="432" w:hRule="atLeast"/>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b/>
                <w:bCs/>
                <w:sz w:val="22"/>
                <w:szCs w:val="22"/>
              </w:rPr>
            </w:pPr>
            <w:r>
              <w:rPr>
                <w:rFonts w:ascii="Times New Roman" w:hAnsi="Times New Roman"/>
                <w:b/>
                <w:bCs/>
                <w:sz w:val="22"/>
                <w:szCs w:val="22"/>
              </w:rPr>
              <w:t>#</w:t>
            </w:r>
          </w:p>
        </w:tc>
        <w:tc>
          <w:tcPr>
            <w:tcW w:w="1072"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eastAsia="EC Square Sans Pro"/>
                <w:b/>
                <w:bCs/>
                <w:kern w:val="0"/>
                <w:sz w:val="22"/>
                <w:szCs w:val="22"/>
                <w:lang w:val="en-GB" w:eastAsia="en-US" w:bidi="ar-SA"/>
              </w:rPr>
            </w:pPr>
            <w:r>
              <w:rPr>
                <w:rFonts w:eastAsia="EC Square Sans Pro" w:ascii="Times New Roman" w:hAnsi="Times New Roman"/>
                <w:b/>
                <w:bCs/>
                <w:kern w:val="0"/>
                <w:sz w:val="22"/>
                <w:szCs w:val="22"/>
                <w:lang w:val="en-GB" w:eastAsia="en-US" w:bidi="ar-SA"/>
              </w:rPr>
              <w:t>Year</w:t>
            </w:r>
          </w:p>
        </w:tc>
        <w:tc>
          <w:tcPr>
            <w:tcW w:w="4026"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b/>
                <w:bCs/>
                <w:sz w:val="22"/>
                <w:szCs w:val="22"/>
              </w:rPr>
            </w:pPr>
            <w:r>
              <w:rPr>
                <w:rFonts w:ascii="Times New Roman" w:hAnsi="Times New Roman"/>
                <w:b/>
                <w:bCs/>
                <w:sz w:val="22"/>
                <w:szCs w:val="22"/>
              </w:rPr>
              <w:t>Meeting</w:t>
            </w:r>
          </w:p>
        </w:tc>
        <w:tc>
          <w:tcPr>
            <w:tcW w:w="1589"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b/>
                <w:bCs/>
                <w:sz w:val="22"/>
                <w:szCs w:val="22"/>
              </w:rPr>
            </w:pPr>
            <w:r>
              <w:rPr>
                <w:rFonts w:ascii="Times New Roman" w:hAnsi="Times New Roman"/>
                <w:b/>
                <w:bCs/>
                <w:sz w:val="22"/>
                <w:szCs w:val="22"/>
              </w:rPr>
              <w:t>Date</w:t>
            </w:r>
          </w:p>
        </w:tc>
      </w:tr>
      <w:tr>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1</w:t>
            </w:r>
          </w:p>
        </w:tc>
        <w:tc>
          <w:tcPr>
            <w:tcW w:w="1072"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eastAsia="EC Square Sans Pro" w:cs="Consolas" w:ascii="Times New Roman" w:hAnsi="Times New Roman"/>
                <w:color w:val="000000"/>
                <w:kern w:val="0"/>
                <w:sz w:val="24"/>
                <w:szCs w:val="24"/>
                <w:lang w:val="it-IT" w:eastAsia="en-US" w:bidi="ar-SA"/>
              </w:rPr>
              <w:t>2023</w:t>
            </w:r>
          </w:p>
        </w:tc>
        <w:tc>
          <w:tcPr>
            <w:tcW w:w="4026" w:type="dxa"/>
            <w:tcBorders>
              <w:start w:val="single" w:sz="4" w:space="0" w:color="000000"/>
              <w:bottom w:val="single" w:sz="4" w:space="0" w:color="000000"/>
            </w:tcBorders>
            <w:vAlign w:val="center"/>
          </w:tcPr>
          <w:p>
            <w:pPr>
              <w:pStyle w:val="Normal"/>
              <w:rPr>
                <w:rFonts w:ascii="Times New Roman" w:hAnsi="Times New Roman"/>
                <w:iCs/>
              </w:rPr>
            </w:pPr>
            <w:r>
              <w:rPr>
                <w:rFonts w:ascii="Times New Roman" w:hAnsi="Times New Roman"/>
                <w:iCs/>
              </w:rPr>
              <w:t>IDF Europe Regional Council &amp; TEAM WHO Europe-IDF Europe High-Level Technical Summit</w:t>
            </w:r>
          </w:p>
          <w:p>
            <w:pPr>
              <w:pStyle w:val="JRCText"/>
              <w:rPr>
                <w:rFonts w:ascii="Times New Roman" w:hAnsi="Times New Roman"/>
                <w:iCs/>
              </w:rPr>
            </w:pPr>
            <w:r>
              <w:rPr>
                <w:rFonts w:eastAsia="EC Square Sans Pro" w:cs="Consolas" w:ascii="Times New Roman" w:hAnsi="Times New Roman"/>
                <w:iCs/>
                <w:color w:val="000000"/>
                <w:kern w:val="0"/>
                <w:lang w:val="it-IT" w:eastAsia="en-US" w:bidi="ar-SA"/>
              </w:rPr>
              <w:t>on Diabetes</w:t>
            </w:r>
          </w:p>
        </w:tc>
        <w:tc>
          <w:tcPr>
            <w:tcW w:w="1589"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eastAsia="EC Square Sans Pro" w:cs="Consolas"/>
                <w:color w:val="000000"/>
                <w:kern w:val="0"/>
                <w:sz w:val="24"/>
                <w:szCs w:val="24"/>
                <w:lang w:val="it-IT" w:eastAsia="en-US" w:bidi="ar-SA"/>
              </w:rPr>
            </w:pPr>
            <w:r>
              <w:rPr>
                <w:rFonts w:eastAsia="EC Square Sans Pro" w:cs="Consolas" w:ascii="Times New Roman" w:hAnsi="Times New Roman"/>
                <w:color w:val="000000"/>
                <w:kern w:val="0"/>
                <w:sz w:val="24"/>
                <w:szCs w:val="24"/>
                <w:lang w:val="it-IT" w:eastAsia="en-US" w:bidi="ar-SA"/>
              </w:rPr>
              <w:t>28/11/2023</w:t>
            </w:r>
          </w:p>
        </w:tc>
      </w:tr>
      <w:tr>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2</w:t>
            </w:r>
          </w:p>
        </w:tc>
        <w:tc>
          <w:tcPr>
            <w:tcW w:w="1072" w:type="dxa"/>
            <w:vMerge w:val="restart"/>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eastAsia="EC Square Sans Pro"/>
                <w:kern w:val="0"/>
                <w:sz w:val="24"/>
                <w:szCs w:val="24"/>
                <w:lang w:val="en-GB" w:eastAsia="en-US" w:bidi="ar-SA"/>
              </w:rPr>
            </w:pPr>
            <w:r>
              <w:rPr>
                <w:rFonts w:eastAsia="EC Square Sans Pro" w:ascii="Times New Roman" w:hAnsi="Times New Roman"/>
                <w:kern w:val="0"/>
                <w:sz w:val="24"/>
                <w:szCs w:val="24"/>
                <w:lang w:val="en-GB" w:eastAsia="en-US" w:bidi="ar-SA"/>
              </w:rPr>
              <w:t>2024</w:t>
            </w:r>
          </w:p>
        </w:tc>
        <w:tc>
          <w:tcPr>
            <w:tcW w:w="4026" w:type="dxa"/>
            <w:tcBorders>
              <w:start w:val="single" w:sz="4" w:space="0" w:color="000000"/>
              <w:bottom w:val="single" w:sz="4" w:space="0" w:color="000000"/>
            </w:tcBorders>
            <w:vAlign w:val="center"/>
          </w:tcPr>
          <w:p>
            <w:pPr>
              <w:pStyle w:val="Normal"/>
              <w:widowControl/>
              <w:spacing w:lineRule="auto" w:line="264" w:before="80" w:after="80"/>
              <w:jc w:val="start"/>
              <w:rPr>
                <w:rFonts w:ascii="Times New Roman" w:hAnsi="Times New Roman"/>
                <w:sz w:val="24"/>
                <w:szCs w:val="24"/>
              </w:rPr>
            </w:pPr>
            <w:r>
              <w:rPr>
                <w:rFonts w:eastAsia="EC Square Sans Pro" w:cs="Consolas" w:ascii="Times New Roman" w:hAnsi="Times New Roman"/>
                <w:color w:val="000000"/>
                <w:kern w:val="0"/>
                <w:sz w:val="24"/>
                <w:szCs w:val="24"/>
                <w:lang w:val="it-IT" w:eastAsia="en-US" w:bidi="ar-SA"/>
              </w:rPr>
              <w:t>IDF Europe Regional Council Meeting, Rome, Italy</w:t>
            </w:r>
          </w:p>
        </w:tc>
        <w:tc>
          <w:tcPr>
            <w:tcW w:w="1589"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13/10/2024</w:t>
            </w:r>
          </w:p>
        </w:tc>
      </w:tr>
      <w:tr>
        <w:trPr/>
        <w:tc>
          <w:tcPr>
            <w:tcW w:w="621" w:type="dxa"/>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3</w:t>
            </w:r>
          </w:p>
        </w:tc>
        <w:tc>
          <w:tcPr>
            <w:tcW w:w="1072" w:type="dxa"/>
            <w:vMerge w:val="continue"/>
            <w:tcBorders>
              <w:start w:val="single" w:sz="4" w:space="0" w:color="000000"/>
              <w:bottom w:val="single" w:sz="4" w:space="0" w:color="000000"/>
            </w:tcBorders>
            <w:vAlign w:val="center"/>
          </w:tcPr>
          <w:p>
            <w:pPr>
              <w:pStyle w:val="Normal"/>
              <w:widowControl/>
              <w:spacing w:lineRule="auto" w:line="264" w:before="80" w:after="80"/>
              <w:jc w:val="center"/>
              <w:rPr>
                <w:rFonts w:ascii="Times New Roman" w:hAnsi="Times New Roman" w:eastAsia="EC Square Sans Pro"/>
                <w:kern w:val="0"/>
                <w:sz w:val="24"/>
                <w:szCs w:val="24"/>
                <w:lang w:val="en-GB" w:eastAsia="en-US" w:bidi="ar-SA"/>
              </w:rPr>
            </w:pPr>
            <w:r>
              <w:rPr>
                <w:rFonts w:eastAsia="EC Square Sans Pro" w:ascii="Times New Roman" w:hAnsi="Times New Roman"/>
                <w:kern w:val="0"/>
                <w:sz w:val="24"/>
                <w:szCs w:val="24"/>
                <w:lang w:val="en-GB" w:eastAsia="en-US" w:bidi="ar-SA"/>
              </w:rPr>
            </w:r>
          </w:p>
        </w:tc>
        <w:tc>
          <w:tcPr>
            <w:tcW w:w="4026" w:type="dxa"/>
            <w:tcBorders>
              <w:start w:val="single" w:sz="4" w:space="0" w:color="000000"/>
              <w:bottom w:val="single" w:sz="4" w:space="0" w:color="000000"/>
            </w:tcBorders>
            <w:vAlign w:val="center"/>
          </w:tcPr>
          <w:p>
            <w:pPr>
              <w:pStyle w:val="Normal"/>
              <w:bidi w:val="0"/>
              <w:jc w:val="start"/>
              <w:rPr>
                <w:rFonts w:ascii="Times New Roman" w:hAnsi="Times New Roman" w:eastAsia="EC Square Sans Pro" w:cs="Consolas"/>
                <w:b w:val="false"/>
                <w:bCs w:val="false"/>
                <w:color w:val="000000"/>
                <w:kern w:val="0"/>
                <w:sz w:val="24"/>
                <w:szCs w:val="24"/>
                <w:lang w:val="it-IT" w:eastAsia="en-US" w:bidi="ar-SA"/>
              </w:rPr>
            </w:pPr>
            <w:r>
              <w:rPr>
                <w:rFonts w:eastAsia="EC Square Sans Pro" w:cs="Consolas" w:ascii="Times New Roman" w:hAnsi="Times New Roman"/>
                <w:b w:val="false"/>
                <w:bCs w:val="false"/>
                <w:color w:val="000000"/>
                <w:kern w:val="0"/>
                <w:sz w:val="24"/>
                <w:szCs w:val="24"/>
                <w:lang w:val="it-IT" w:eastAsia="en-US" w:bidi="ar-SA"/>
              </w:rPr>
              <w:t>Diabetes Registries: Enabling High-Quality Diabetes Care, EUDF Symposium at EASD Conference</w:t>
            </w:r>
          </w:p>
        </w:tc>
        <w:tc>
          <w:tcPr>
            <w:tcW w:w="1589" w:type="dxa"/>
            <w:tcBorders>
              <w:start w:val="single" w:sz="4" w:space="0" w:color="000000"/>
              <w:bottom w:val="single" w:sz="4" w:space="0" w:color="000000"/>
              <w:end w:val="single" w:sz="4" w:space="0" w:color="000000"/>
            </w:tcBorders>
            <w:vAlign w:val="center"/>
          </w:tcPr>
          <w:p>
            <w:pPr>
              <w:pStyle w:val="Normal"/>
              <w:widowControl/>
              <w:spacing w:lineRule="auto" w:line="264" w:before="80" w:after="80"/>
              <w:jc w:val="center"/>
              <w:rPr>
                <w:rFonts w:ascii="Times New Roman" w:hAnsi="Times New Roman"/>
                <w:sz w:val="24"/>
                <w:szCs w:val="24"/>
              </w:rPr>
            </w:pPr>
            <w:r>
              <w:rPr>
                <w:rFonts w:ascii="Times New Roman" w:hAnsi="Times New Roman"/>
                <w:sz w:val="24"/>
                <w:szCs w:val="24"/>
              </w:rPr>
              <w:t>11/9/2024</w:t>
            </w:r>
          </w:p>
        </w:tc>
      </w:tr>
    </w:tbl>
    <w:p>
      <w:pPr>
        <w:pStyle w:val="JRCTablesource"/>
        <w:spacing w:before="80" w:after="160"/>
        <w:contextualSpacing/>
        <w:rPr>
          <w:iCs/>
        </w:rPr>
      </w:pPr>
      <w:r>
        <w:rPr>
          <w:iCs/>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OpenSymbol">
    <w:altName w:val="Arial Unicode MS"/>
    <w:charset w:val="01" w:characterSet="utf-8"/>
    <w:family w:val="swiss"/>
    <w:pitch w:val="variable"/>
  </w:font>
  <w:font w:name="Liberation Sans">
    <w:altName w:val="Arial"/>
    <w:charset w:val="01" w:characterSet="utf-8"/>
    <w:family w:val="swiss"/>
    <w:pitch w:val="variable"/>
  </w:font>
  <w:font w:name="Verdana">
    <w:charset w:val="01" w:characterSet="utf-8"/>
    <w:family w:val="roman"/>
    <w:pitch w:val="variable"/>
  </w:font>
  <w:font w:name="Times New Roman">
    <w:charset w:val="01" w:characterSet="utf-8"/>
    <w:family w:val="roman"/>
    <w:pitch w:val="variable"/>
  </w:font>
  <w:font w:name="Nimbus Sans L">
    <w:altName w:val="Arial"/>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004" w:hanging="360"/>
      </w:pPr>
      <w:rPr>
        <w:rFonts w:ascii="Nimbus Sans L" w:hAnsi="Nimbus Sans L"/>
        <w:b w:val="false"/>
        <w:bCs w:val="false"/>
        <w:sz w:val="20"/>
        <w:szCs w:val="20"/>
      </w:rPr>
    </w:lvl>
    <w:lvl w:ilvl="1">
      <w:start w:val="1"/>
      <w:numFmt w:val="decimal"/>
      <w:lvlText w:val="%2."/>
      <w:lvlJc w:val="start"/>
      <w:pPr>
        <w:tabs>
          <w:tab w:val="num" w:pos="0"/>
        </w:tabs>
        <w:ind w:start="1364" w:hanging="360"/>
      </w:pPr>
      <w:rPr>
        <w:rFonts w:ascii="Nimbus Sans L" w:hAnsi="Nimbus Sans L"/>
        <w:b w:val="false"/>
        <w:bCs w:val="false"/>
        <w:sz w:val="20"/>
        <w:szCs w:val="20"/>
      </w:rPr>
    </w:lvl>
    <w:lvl w:ilvl="2">
      <w:start w:val="1"/>
      <w:numFmt w:val="decimal"/>
      <w:lvlText w:val="%3."/>
      <w:lvlJc w:val="start"/>
      <w:pPr>
        <w:tabs>
          <w:tab w:val="num" w:pos="0"/>
        </w:tabs>
        <w:ind w:start="1724" w:hanging="360"/>
      </w:pPr>
      <w:rPr>
        <w:rFonts w:ascii="Nimbus Sans L" w:hAnsi="Nimbus Sans L"/>
        <w:b w:val="false"/>
        <w:bCs w:val="false"/>
        <w:sz w:val="20"/>
        <w:szCs w:val="20"/>
      </w:rPr>
    </w:lvl>
    <w:lvl w:ilvl="3">
      <w:start w:val="1"/>
      <w:numFmt w:val="decimal"/>
      <w:lvlText w:val="%4."/>
      <w:lvlJc w:val="start"/>
      <w:pPr>
        <w:tabs>
          <w:tab w:val="num" w:pos="0"/>
        </w:tabs>
        <w:ind w:start="2084" w:hanging="360"/>
      </w:pPr>
      <w:rPr>
        <w:rFonts w:ascii="Nimbus Sans L" w:hAnsi="Nimbus Sans L"/>
        <w:b w:val="false"/>
        <w:bCs w:val="false"/>
        <w:sz w:val="20"/>
        <w:szCs w:val="20"/>
      </w:rPr>
    </w:lvl>
    <w:lvl w:ilvl="4">
      <w:start w:val="1"/>
      <w:numFmt w:val="decimal"/>
      <w:lvlText w:val="%5."/>
      <w:lvlJc w:val="start"/>
      <w:pPr>
        <w:tabs>
          <w:tab w:val="num" w:pos="0"/>
        </w:tabs>
        <w:ind w:start="2444" w:hanging="360"/>
      </w:pPr>
      <w:rPr>
        <w:rFonts w:ascii="Nimbus Sans L" w:hAnsi="Nimbus Sans L"/>
        <w:b w:val="false"/>
        <w:bCs w:val="false"/>
        <w:sz w:val="20"/>
        <w:szCs w:val="20"/>
      </w:rPr>
    </w:lvl>
    <w:lvl w:ilvl="5">
      <w:start w:val="1"/>
      <w:numFmt w:val="decimal"/>
      <w:lvlText w:val="%6."/>
      <w:lvlJc w:val="start"/>
      <w:pPr>
        <w:tabs>
          <w:tab w:val="num" w:pos="0"/>
        </w:tabs>
        <w:ind w:start="2804" w:hanging="360"/>
      </w:pPr>
      <w:rPr>
        <w:rFonts w:ascii="Nimbus Sans L" w:hAnsi="Nimbus Sans L"/>
        <w:b w:val="false"/>
        <w:bCs w:val="false"/>
        <w:sz w:val="20"/>
        <w:szCs w:val="20"/>
      </w:rPr>
    </w:lvl>
    <w:lvl w:ilvl="6">
      <w:start w:val="1"/>
      <w:numFmt w:val="decimal"/>
      <w:lvlText w:val="%7."/>
      <w:lvlJc w:val="start"/>
      <w:pPr>
        <w:tabs>
          <w:tab w:val="num" w:pos="0"/>
        </w:tabs>
        <w:ind w:start="3164" w:hanging="360"/>
      </w:pPr>
      <w:rPr>
        <w:rFonts w:ascii="Nimbus Sans L" w:hAnsi="Nimbus Sans L"/>
        <w:b w:val="false"/>
        <w:bCs w:val="false"/>
        <w:sz w:val="20"/>
        <w:szCs w:val="20"/>
      </w:rPr>
    </w:lvl>
    <w:lvl w:ilvl="7">
      <w:start w:val="1"/>
      <w:numFmt w:val="decimal"/>
      <w:lvlText w:val="%8."/>
      <w:lvlJc w:val="start"/>
      <w:pPr>
        <w:tabs>
          <w:tab w:val="num" w:pos="0"/>
        </w:tabs>
        <w:ind w:start="3524" w:hanging="360"/>
      </w:pPr>
      <w:rPr>
        <w:rFonts w:ascii="Nimbus Sans L" w:hAnsi="Nimbus Sans L"/>
        <w:b w:val="false"/>
        <w:bCs w:val="false"/>
        <w:sz w:val="20"/>
        <w:szCs w:val="20"/>
      </w:rPr>
    </w:lvl>
    <w:lvl w:ilvl="8">
      <w:start w:val="1"/>
      <w:numFmt w:val="decimal"/>
      <w:lvlText w:val="%9."/>
      <w:lvlJc w:val="start"/>
      <w:pPr>
        <w:tabs>
          <w:tab w:val="num" w:pos="0"/>
        </w:tabs>
        <w:ind w:start="3884" w:hanging="360"/>
      </w:pPr>
      <w:rPr>
        <w:rFonts w:ascii="Nimbus Sans L" w:hAnsi="Nimbus Sans L"/>
        <w:b w:val="false"/>
        <w:bCs w:val="false"/>
        <w:sz w:val="20"/>
        <w:szCs w:val="20"/>
      </w:rPr>
    </w:lvl>
  </w:abstractNum>
  <w:abstractNum w:abstractNumId="2">
    <w:lvl w:ilvl="0">
      <w:start w:val="1"/>
      <w:numFmt w:val="decimal"/>
      <w:lvlText w:val="%1."/>
      <w:lvlJc w:val="start"/>
      <w:pPr>
        <w:tabs>
          <w:tab w:val="num" w:pos="0"/>
        </w:tabs>
        <w:ind w:start="720" w:hanging="360"/>
      </w:pPr>
      <w:rPr>
        <w:rFonts w:ascii="Nimbus Sans L" w:hAnsi="Nimbus Sans L"/>
        <w:b w:val="false"/>
        <w:bCs w:val="false"/>
        <w:sz w:val="20"/>
        <w:szCs w:val="20"/>
      </w:rPr>
    </w:lvl>
    <w:lvl w:ilvl="1">
      <w:start w:val="1"/>
      <w:numFmt w:val="decimal"/>
      <w:lvlText w:val="%2."/>
      <w:lvlJc w:val="start"/>
      <w:pPr>
        <w:tabs>
          <w:tab w:val="num" w:pos="0"/>
        </w:tabs>
        <w:ind w:start="1080" w:hanging="360"/>
      </w:pPr>
      <w:rPr>
        <w:rFonts w:ascii="Nimbus Sans L" w:hAnsi="Nimbus Sans L"/>
        <w:b w:val="false"/>
        <w:bCs w:val="false"/>
        <w:sz w:val="20"/>
        <w:szCs w:val="20"/>
      </w:rPr>
    </w:lvl>
    <w:lvl w:ilvl="2">
      <w:start w:val="1"/>
      <w:numFmt w:val="decimal"/>
      <w:lvlText w:val="%3."/>
      <w:lvlJc w:val="start"/>
      <w:pPr>
        <w:tabs>
          <w:tab w:val="num" w:pos="0"/>
        </w:tabs>
        <w:ind w:start="1440" w:hanging="360"/>
      </w:pPr>
      <w:rPr>
        <w:rFonts w:ascii="Nimbus Sans L" w:hAnsi="Nimbus Sans L"/>
        <w:b w:val="false"/>
        <w:bCs w:val="false"/>
        <w:sz w:val="20"/>
        <w:szCs w:val="20"/>
      </w:rPr>
    </w:lvl>
    <w:lvl w:ilvl="3">
      <w:start w:val="1"/>
      <w:numFmt w:val="decimal"/>
      <w:lvlText w:val="%4."/>
      <w:lvlJc w:val="start"/>
      <w:pPr>
        <w:tabs>
          <w:tab w:val="num" w:pos="0"/>
        </w:tabs>
        <w:ind w:start="1800" w:hanging="360"/>
      </w:pPr>
      <w:rPr>
        <w:rFonts w:ascii="Nimbus Sans L" w:hAnsi="Nimbus Sans L"/>
        <w:b w:val="false"/>
        <w:bCs w:val="false"/>
        <w:sz w:val="20"/>
        <w:szCs w:val="20"/>
      </w:rPr>
    </w:lvl>
    <w:lvl w:ilvl="4">
      <w:start w:val="1"/>
      <w:numFmt w:val="decimal"/>
      <w:lvlText w:val="%5."/>
      <w:lvlJc w:val="start"/>
      <w:pPr>
        <w:tabs>
          <w:tab w:val="num" w:pos="0"/>
        </w:tabs>
        <w:ind w:start="2160" w:hanging="360"/>
      </w:pPr>
      <w:rPr>
        <w:rFonts w:ascii="Nimbus Sans L" w:hAnsi="Nimbus Sans L"/>
        <w:b w:val="false"/>
        <w:bCs w:val="false"/>
        <w:sz w:val="20"/>
        <w:szCs w:val="20"/>
      </w:rPr>
    </w:lvl>
    <w:lvl w:ilvl="5">
      <w:start w:val="1"/>
      <w:numFmt w:val="decimal"/>
      <w:lvlText w:val="%6."/>
      <w:lvlJc w:val="start"/>
      <w:pPr>
        <w:tabs>
          <w:tab w:val="num" w:pos="0"/>
        </w:tabs>
        <w:ind w:start="2520" w:hanging="360"/>
      </w:pPr>
      <w:rPr>
        <w:rFonts w:ascii="Nimbus Sans L" w:hAnsi="Nimbus Sans L"/>
        <w:b w:val="false"/>
        <w:bCs w:val="false"/>
        <w:sz w:val="20"/>
        <w:szCs w:val="20"/>
      </w:rPr>
    </w:lvl>
    <w:lvl w:ilvl="6">
      <w:start w:val="1"/>
      <w:numFmt w:val="decimal"/>
      <w:lvlText w:val="%7."/>
      <w:lvlJc w:val="start"/>
      <w:pPr>
        <w:tabs>
          <w:tab w:val="num" w:pos="0"/>
        </w:tabs>
        <w:ind w:start="2880" w:hanging="360"/>
      </w:pPr>
      <w:rPr>
        <w:rFonts w:ascii="Nimbus Sans L" w:hAnsi="Nimbus Sans L"/>
        <w:b w:val="false"/>
        <w:bCs w:val="false"/>
        <w:sz w:val="20"/>
        <w:szCs w:val="20"/>
      </w:rPr>
    </w:lvl>
    <w:lvl w:ilvl="7">
      <w:start w:val="1"/>
      <w:numFmt w:val="decimal"/>
      <w:lvlText w:val="%8."/>
      <w:lvlJc w:val="start"/>
      <w:pPr>
        <w:tabs>
          <w:tab w:val="num" w:pos="0"/>
        </w:tabs>
        <w:ind w:start="3240" w:hanging="360"/>
      </w:pPr>
      <w:rPr>
        <w:rFonts w:ascii="Nimbus Sans L" w:hAnsi="Nimbus Sans L"/>
        <w:b w:val="false"/>
        <w:bCs w:val="false"/>
        <w:sz w:val="20"/>
        <w:szCs w:val="20"/>
      </w:rPr>
    </w:lvl>
    <w:lvl w:ilvl="8">
      <w:start w:val="1"/>
      <w:numFmt w:val="decimal"/>
      <w:lvlText w:val="%9."/>
      <w:lvlJc w:val="start"/>
      <w:pPr>
        <w:tabs>
          <w:tab w:val="num" w:pos="0"/>
        </w:tabs>
        <w:ind w:start="3600" w:hanging="360"/>
      </w:pPr>
      <w:rPr>
        <w:rFonts w:ascii="Nimbus Sans L" w:hAnsi="Nimbus Sans L"/>
        <w:b w:val="false"/>
        <w:bCs w:val="false"/>
        <w:sz w:val="20"/>
        <w:szCs w:val="20"/>
      </w:rPr>
    </w:lvl>
  </w:abstractNum>
  <w:abstractNum w:abstractNumId="3">
    <w:lvl w:ilvl="0">
      <w:start w:val="1"/>
      <w:numFmt w:val="decimal"/>
      <w:lvlText w:val="%1."/>
      <w:lvlJc w:val="start"/>
      <w:pPr>
        <w:tabs>
          <w:tab w:val="num" w:pos="1014"/>
        </w:tabs>
        <w:ind w:start="1014" w:hanging="360"/>
      </w:pPr>
      <w:rPr/>
    </w:lvl>
    <w:lvl w:ilvl="1">
      <w:start w:val="1"/>
      <w:numFmt w:val="decimal"/>
      <w:lvlText w:val="%2."/>
      <w:lvlJc w:val="start"/>
      <w:pPr>
        <w:tabs>
          <w:tab w:val="num" w:pos="1374"/>
        </w:tabs>
        <w:ind w:start="1374" w:hanging="360"/>
      </w:pPr>
      <w:rPr/>
    </w:lvl>
    <w:lvl w:ilvl="2">
      <w:start w:val="1"/>
      <w:numFmt w:val="decimal"/>
      <w:lvlText w:val="%3."/>
      <w:lvlJc w:val="start"/>
      <w:pPr>
        <w:tabs>
          <w:tab w:val="num" w:pos="1734"/>
        </w:tabs>
        <w:ind w:start="1734" w:hanging="360"/>
      </w:pPr>
      <w:rPr/>
    </w:lvl>
    <w:lvl w:ilvl="3">
      <w:start w:val="1"/>
      <w:numFmt w:val="decimal"/>
      <w:lvlText w:val="%4."/>
      <w:lvlJc w:val="start"/>
      <w:pPr>
        <w:tabs>
          <w:tab w:val="num" w:pos="2094"/>
        </w:tabs>
        <w:ind w:start="2094" w:hanging="360"/>
      </w:pPr>
      <w:rPr/>
    </w:lvl>
    <w:lvl w:ilvl="4">
      <w:start w:val="1"/>
      <w:numFmt w:val="decimal"/>
      <w:lvlText w:val="%5."/>
      <w:lvlJc w:val="start"/>
      <w:pPr>
        <w:tabs>
          <w:tab w:val="num" w:pos="2454"/>
        </w:tabs>
        <w:ind w:start="2454" w:hanging="360"/>
      </w:pPr>
      <w:rPr/>
    </w:lvl>
    <w:lvl w:ilvl="5">
      <w:start w:val="1"/>
      <w:numFmt w:val="decimal"/>
      <w:lvlText w:val="%6."/>
      <w:lvlJc w:val="start"/>
      <w:pPr>
        <w:tabs>
          <w:tab w:val="num" w:pos="2814"/>
        </w:tabs>
        <w:ind w:start="2814" w:hanging="360"/>
      </w:pPr>
      <w:rPr/>
    </w:lvl>
    <w:lvl w:ilvl="6">
      <w:start w:val="1"/>
      <w:numFmt w:val="decimal"/>
      <w:lvlText w:val="%7."/>
      <w:lvlJc w:val="start"/>
      <w:pPr>
        <w:tabs>
          <w:tab w:val="num" w:pos="3174"/>
        </w:tabs>
        <w:ind w:start="3174" w:hanging="360"/>
      </w:pPr>
      <w:rPr/>
    </w:lvl>
    <w:lvl w:ilvl="7">
      <w:start w:val="1"/>
      <w:numFmt w:val="decimal"/>
      <w:lvlText w:val="%8."/>
      <w:lvlJc w:val="start"/>
      <w:pPr>
        <w:tabs>
          <w:tab w:val="num" w:pos="3534"/>
        </w:tabs>
        <w:ind w:start="3534" w:hanging="360"/>
      </w:pPr>
      <w:rPr/>
    </w:lvl>
    <w:lvl w:ilvl="8">
      <w:start w:val="1"/>
      <w:numFmt w:val="decimal"/>
      <w:lvlText w:val="%9."/>
      <w:lvlJc w:val="start"/>
      <w:pPr>
        <w:tabs>
          <w:tab w:val="num" w:pos="3894"/>
        </w:tabs>
        <w:ind w:start="3894" w:hanging="360"/>
      </w:pPr>
      <w:rPr/>
    </w:lvl>
  </w:abstractNum>
  <w:abstractNum w:abstractNumId="4">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oto Serif CJK SC" w:cs="Noto Sans Devanagari"/>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Calibri" w:hAnsi="Calibri" w:eastAsia="Noto Serif CJK SC" w:cs="Noto Sans Devanagari"/>
      <w:color w:val="auto"/>
      <w:kern w:val="2"/>
      <w:sz w:val="24"/>
      <w:szCs w:val="24"/>
      <w:lang w:val="en-GB" w:eastAsia="zh-CN" w:bidi="hi-IN"/>
    </w:rPr>
  </w:style>
  <w:style w:type="character" w:styleId="Bulletsuser">
    <w:name w:val="Bullets (user)"/>
    <w:qFormat/>
    <w:rPr>
      <w:rFonts w:ascii="OpenSymbol" w:hAnsi="OpenSymbol" w:eastAsia="OpenSymbol" w:cs="OpenSymbol"/>
    </w:rPr>
  </w:style>
  <w:style w:type="character" w:styleId="DefaultParagraphFont">
    <w:name w:val="Default Paragraph Font"/>
    <w:qFormat/>
    <w:rPr/>
  </w:style>
  <w:style w:type="character" w:styleId="Hyperlink">
    <w:name w:val="Hyperlink"/>
    <w:basedOn w:val="DefaultParagraphFont"/>
    <w:rPr>
      <w:color w:themeColor="hyperlink" w:val="0563C1"/>
      <w:u w:val="single"/>
    </w:rPr>
  </w:style>
  <w:style w:type="character" w:styleId="WW-Caratterepredefinitoparagrafo">
    <w:name w:val="WW-Carattere predefinito paragrafo"/>
    <w:qFormat/>
    <w:rPr/>
  </w:style>
  <w:style w:type="character" w:styleId="FollowedHyperlink">
    <w:name w:val="FollowedHyperlink"/>
    <w:basedOn w:val="WW-Caratterepredefinitoparagrafo"/>
    <w:rPr>
      <w:color w:val="800080"/>
      <w:u w:val="single"/>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Devanagari"/>
    </w:rPr>
  </w:style>
  <w:style w:type="paragraph" w:styleId="Caption">
    <w:name w:val="caption"/>
    <w:basedOn w:val="Normal"/>
    <w:qFormat/>
    <w:pPr>
      <w:suppressLineNumbers/>
      <w:spacing w:before="120" w:after="120"/>
    </w:pPr>
    <w:rPr>
      <w:rFonts w:ascii="Calibri" w:hAnsi="Calibri" w:cs="Noto Sans Devanagari"/>
      <w:i/>
      <w:iCs/>
      <w:sz w:val="24"/>
      <w:szCs w:val="24"/>
    </w:rPr>
  </w:style>
  <w:style w:type="paragraph" w:styleId="Index">
    <w:name w:val="Index"/>
    <w:basedOn w:val="Normal"/>
    <w:qFormat/>
    <w:pPr>
      <w:suppressLineNumbers/>
    </w:pPr>
    <w:rPr>
      <w:rFonts w:ascii="Calibri" w:hAnsi="Calibri" w:cs="Noto Sans Devanagari"/>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JRCText">
    <w:name w:val="JRC_Text"/>
    <w:basedOn w:val="Normal"/>
    <w:qFormat/>
    <w:pPr/>
    <w:rPr/>
  </w:style>
  <w:style w:type="paragraph" w:styleId="JRCTabletitle">
    <w:name w:val="JRC_Table_title"/>
    <w:basedOn w:val="Normal"/>
    <w:qFormat/>
    <w:pPr>
      <w:keepNext w:val="true"/>
      <w:keepLines/>
      <w:spacing w:before="240" w:after="160"/>
    </w:pPr>
    <w:rPr>
      <w:rFonts w:eastAsia="Calibri" w:cs="Times New Roman"/>
      <w:sz w:val="20"/>
    </w:rPr>
  </w:style>
  <w:style w:type="paragraph" w:styleId="JRCTablesource">
    <w:name w:val="JRC_Table_source"/>
    <w:basedOn w:val="Normal"/>
    <w:next w:val="JRCText"/>
    <w:qFormat/>
    <w:pPr>
      <w:keepLines/>
      <w:spacing w:before="80" w:after="160"/>
      <w:contextualSpacing/>
    </w:pPr>
    <w:rPr>
      <w:rFonts w:eastAsia="Times New Roman" w:cs="Times New Roman"/>
      <w:i/>
      <w:sz w:val="18"/>
      <w:lang w:eastAsia="en-GB"/>
    </w:rPr>
  </w:style>
  <w:style w:type="paragraph" w:styleId="Standard">
    <w:name w:val="Standard"/>
    <w:qFormat/>
    <w:pPr>
      <w:widowControl/>
      <w:suppressAutoHyphens w:val="true"/>
      <w:overflowPunct w:val="true"/>
      <w:bidi w:val="0"/>
      <w:spacing w:before="0" w:after="60"/>
      <w:ind w:firstLine="144"/>
      <w:jc w:val="both"/>
      <w:textAlignment w:val="baseline"/>
    </w:pPr>
    <w:rPr>
      <w:rFonts w:ascii="Verdana" w:hAnsi="Verdana" w:eastAsia="Times New Roman" w:cs="Times New Roman"/>
      <w:color w:val="auto"/>
      <w:kern w:val="2"/>
      <w:sz w:val="20"/>
      <w:szCs w:val="20"/>
      <w:lang w:val="en-AU"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yperlink" Target="https://pmc.ncbi.nlm.nih.gov/articles/PMC13543158/" TargetMode="External"/><Relationship Id="rId8" Type="http://schemas.openxmlformats.org/officeDocument/2006/relationships/hyperlink" Target="https://www.frontiersin.org/journals/digital-health/articles/10.3389/fdgth.2025.1685733/full" TargetMode="External"/><Relationship Id="rId9" Type="http://schemas.openxmlformats.org/officeDocument/2006/relationships/hyperlink" Target="https://www.frontiersin.org/journals/public-health/articles/10.3389/fpubh.2025.1684947/full" TargetMode="External"/><Relationship Id="rId10" Type="http://schemas.openxmlformats.org/officeDocument/2006/relationships/hyperlink" Target="https://www.frontiersin.org/journals/digital-health/articles/10.3389/fdgth.2025.1685774/full" TargetMode="External"/><Relationship Id="rId11" Type="http://schemas.openxmlformats.org/officeDocument/2006/relationships/hyperlink" Target="https://www.frontiersin.org/journals/public-health/articles/10.3389/fpubh.2025.1685731/full" TargetMode="External"/><Relationship Id="rId12" Type="http://schemas.openxmlformats.org/officeDocument/2006/relationships/hyperlink" Target="https://data.europa.eu/doi/10.3390/data10090136" TargetMode="External"/><Relationship Id="rId13" Type="http://schemas.openxmlformats.org/officeDocument/2006/relationships/hyperlink" Target="https://www.frontiersin.org/journals/computer-science/articles/10.3389/fcomp.2024.1463989/full" TargetMode="External"/><Relationship Id="rId14" Type="http://schemas.openxmlformats.org/officeDocument/2006/relationships/hyperlink" Target="https://www.frontiersin.org/journals/public-health/articles/10.3389/fpubh.2026.1864673/full" TargetMode="Externa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99</TotalTime>
  <Application>LibreOffice/25.8.5.2$Linux_X86_64 LibreOffice_project/580$Build-2</Application>
  <AppVersion>15.0000</AppVersion>
  <Pages>7</Pages>
  <Words>1116</Words>
  <Characters>6727</Characters>
  <CharactersWithSpaces>7656</CharactersWithSpaces>
  <Paragraphs>192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2024-10-21T18:49:46Z</dcterms:created>
  <dc:creator>Fabrizio Carinci</dc:creator>
  <dc:description/>
  <dc:language>en-GB</dc:language>
  <cp:lastModifiedBy/>
  <dcterms:modified xsi:type="dcterms:W3CDTF">2026-10-20T00:37:09Z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